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2A" w:rsidRDefault="003C08DF" w:rsidP="003C08DF">
      <w:pPr>
        <w:jc w:val="center"/>
        <w:rPr>
          <w:sz w:val="24"/>
          <w:szCs w:val="24"/>
          <w:u w:val="single"/>
          <w:lang w:val="en-US"/>
        </w:rPr>
      </w:pPr>
      <w:r w:rsidRPr="003C08DF">
        <w:rPr>
          <w:sz w:val="24"/>
          <w:szCs w:val="24"/>
          <w:u w:val="single"/>
          <w:lang w:val="en-US"/>
        </w:rPr>
        <w:t>Tiverton High School Summary 2019-2020.</w:t>
      </w:r>
    </w:p>
    <w:tbl>
      <w:tblPr>
        <w:tblStyle w:val="TableGrid"/>
        <w:tblW w:w="13948" w:type="dxa"/>
        <w:tblInd w:w="396" w:type="dxa"/>
        <w:tblLook w:val="04A0"/>
      </w:tblPr>
      <w:tblGrid>
        <w:gridCol w:w="3540"/>
        <w:gridCol w:w="10408"/>
      </w:tblGrid>
      <w:tr w:rsidR="003C08DF" w:rsidTr="00A77646">
        <w:tc>
          <w:tcPr>
            <w:tcW w:w="3540" w:type="dxa"/>
          </w:tcPr>
          <w:p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Type of School</w:t>
            </w:r>
          </w:p>
        </w:tc>
        <w:tc>
          <w:tcPr>
            <w:tcW w:w="10408" w:type="dxa"/>
          </w:tcPr>
          <w:p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Authority Maintained</w:t>
            </w:r>
          </w:p>
        </w:tc>
      </w:tr>
      <w:tr w:rsidR="003C08DF" w:rsidTr="00A77646">
        <w:tc>
          <w:tcPr>
            <w:tcW w:w="3540" w:type="dxa"/>
          </w:tcPr>
          <w:p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Accessibility</w:t>
            </w:r>
          </w:p>
        </w:tc>
        <w:tc>
          <w:tcPr>
            <w:tcW w:w="10408" w:type="dxa"/>
          </w:tcPr>
          <w:p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Fully Wheelchair accessible (Lifts within both the Main building and support centre)</w:t>
            </w:r>
          </w:p>
        </w:tc>
      </w:tr>
      <w:tr w:rsidR="003C08DF" w:rsidTr="00A77646">
        <w:tc>
          <w:tcPr>
            <w:tcW w:w="3540" w:type="dxa"/>
          </w:tcPr>
          <w:p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Core Offer: Are you currently able to deliver the Core Offer across the whole school?</w:t>
            </w:r>
          </w:p>
        </w:tc>
        <w:tc>
          <w:tcPr>
            <w:tcW w:w="10408" w:type="dxa"/>
          </w:tcPr>
          <w:p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  <w:p w:rsidR="003C08DF" w:rsidRDefault="003C08DF" w:rsidP="003C08DF">
            <w:pPr>
              <w:rPr>
                <w:sz w:val="24"/>
                <w:szCs w:val="24"/>
                <w:lang w:val="en-US"/>
              </w:rPr>
            </w:pPr>
          </w:p>
        </w:tc>
      </w:tr>
      <w:tr w:rsidR="003C08DF" w:rsidTr="00A77646">
        <w:tc>
          <w:tcPr>
            <w:tcW w:w="3540" w:type="dxa"/>
          </w:tcPr>
          <w:p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Policies</w:t>
            </w:r>
          </w:p>
        </w:tc>
        <w:tc>
          <w:tcPr>
            <w:tcW w:w="10408" w:type="dxa"/>
          </w:tcPr>
          <w:p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following policies are available on the school website:</w:t>
            </w:r>
          </w:p>
          <w:p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SEND</w:t>
            </w:r>
          </w:p>
          <w:p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Safeguarding</w:t>
            </w:r>
          </w:p>
          <w:p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Behaviour</w:t>
            </w:r>
          </w:p>
        </w:tc>
      </w:tr>
      <w:tr w:rsidR="003C08DF" w:rsidTr="00A77646">
        <w:tc>
          <w:tcPr>
            <w:tcW w:w="3540" w:type="dxa"/>
          </w:tcPr>
          <w:p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Range of Provision</w:t>
            </w:r>
          </w:p>
        </w:tc>
        <w:tc>
          <w:tcPr>
            <w:tcW w:w="10408" w:type="dxa"/>
          </w:tcPr>
          <w:p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Accessibility:</w:t>
            </w:r>
          </w:p>
          <w:p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Lift Access and accessible toilets</w:t>
            </w:r>
          </w:p>
          <w:p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External Agencies:</w:t>
            </w:r>
          </w:p>
          <w:p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Educational Psychologist, Speech and Language, Occupational Therapist, Advisory Teachers, CAMHS, Counsellor, School Nurse.</w:t>
            </w:r>
          </w:p>
          <w:p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Homework Club: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Runs daily during tutor time.</w:t>
            </w:r>
          </w:p>
        </w:tc>
      </w:tr>
      <w:tr w:rsidR="003C08DF" w:rsidTr="00A77646">
        <w:tc>
          <w:tcPr>
            <w:tcW w:w="3540" w:type="dxa"/>
          </w:tcPr>
          <w:p w:rsidR="003C08DF" w:rsidRPr="003C08DF" w:rsidRDefault="003C08DF" w:rsidP="003C08DF">
            <w:pPr>
              <w:rPr>
                <w:b/>
                <w:sz w:val="24"/>
                <w:szCs w:val="24"/>
                <w:lang w:val="en-US"/>
              </w:rPr>
            </w:pPr>
            <w:r w:rsidRPr="003C08DF">
              <w:rPr>
                <w:b/>
                <w:sz w:val="24"/>
                <w:szCs w:val="24"/>
                <w:lang w:val="en-US"/>
              </w:rPr>
              <w:t>Inclusion</w:t>
            </w:r>
          </w:p>
        </w:tc>
        <w:tc>
          <w:tcPr>
            <w:tcW w:w="10408" w:type="dxa"/>
          </w:tcPr>
          <w:p w:rsidR="003C08DF" w:rsidRDefault="003C08DF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Lessons are all delivered using Quality First Teaching Strategies, </w:t>
            </w:r>
            <w:r w:rsidR="00E74ECD">
              <w:rPr>
                <w:sz w:val="24"/>
                <w:szCs w:val="24"/>
                <w:lang w:val="en-US"/>
              </w:rPr>
              <w:t>as inclusive as possible with differentiation depending on need. All students at THS are encouraged to attend both off site visits and extra-curricular activities.</w:t>
            </w:r>
          </w:p>
        </w:tc>
      </w:tr>
      <w:tr w:rsidR="003C08DF" w:rsidTr="00A77646">
        <w:tc>
          <w:tcPr>
            <w:tcW w:w="3540" w:type="dxa"/>
          </w:tcPr>
          <w:p w:rsidR="003C08DF" w:rsidRPr="00E74ECD" w:rsidRDefault="00E74ECD" w:rsidP="003C08DF">
            <w:pPr>
              <w:rPr>
                <w:b/>
                <w:sz w:val="24"/>
                <w:szCs w:val="24"/>
                <w:lang w:val="en-US"/>
              </w:rPr>
            </w:pPr>
            <w:r w:rsidRPr="00E74ECD">
              <w:rPr>
                <w:b/>
                <w:sz w:val="24"/>
                <w:szCs w:val="24"/>
                <w:lang w:val="en-US"/>
              </w:rPr>
              <w:t>Parent/Carer involvement</w:t>
            </w:r>
          </w:p>
        </w:tc>
        <w:tc>
          <w:tcPr>
            <w:tcW w:w="10408" w:type="dxa"/>
          </w:tcPr>
          <w:p w:rsidR="003C08DF" w:rsidRDefault="00E74ECD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Students with SEN/D work closely with the </w:t>
            </w:r>
            <w:proofErr w:type="spellStart"/>
            <w:r>
              <w:rPr>
                <w:sz w:val="24"/>
                <w:szCs w:val="24"/>
                <w:lang w:val="en-US"/>
              </w:rPr>
              <w:t>SENDCo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Area Leads, as well as teaching assistants and if required outside agencies. All information is shared with parents/ </w:t>
            </w:r>
            <w:proofErr w:type="spellStart"/>
            <w:r>
              <w:rPr>
                <w:sz w:val="24"/>
                <w:szCs w:val="24"/>
                <w:lang w:val="en-US"/>
              </w:rPr>
              <w:t>carers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through either </w:t>
            </w:r>
            <w:proofErr w:type="gramStart"/>
            <w:r>
              <w:rPr>
                <w:sz w:val="24"/>
                <w:szCs w:val="24"/>
                <w:lang w:val="en-US"/>
              </w:rPr>
              <w:t>parents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evenings and/or Plan, Do, Review meetings.</w:t>
            </w:r>
          </w:p>
        </w:tc>
      </w:tr>
      <w:tr w:rsidR="003C08DF" w:rsidTr="00A77646">
        <w:tc>
          <w:tcPr>
            <w:tcW w:w="3540" w:type="dxa"/>
          </w:tcPr>
          <w:p w:rsidR="003C08DF" w:rsidRPr="00E74ECD" w:rsidRDefault="00E74ECD" w:rsidP="003C08DF">
            <w:pPr>
              <w:rPr>
                <w:b/>
                <w:sz w:val="24"/>
                <w:szCs w:val="24"/>
                <w:lang w:val="en-US"/>
              </w:rPr>
            </w:pPr>
            <w:r w:rsidRPr="00E74ECD">
              <w:rPr>
                <w:b/>
                <w:sz w:val="24"/>
                <w:szCs w:val="24"/>
                <w:lang w:val="en-US"/>
              </w:rPr>
              <w:t>Other Information</w:t>
            </w:r>
          </w:p>
        </w:tc>
        <w:tc>
          <w:tcPr>
            <w:tcW w:w="10408" w:type="dxa"/>
          </w:tcPr>
          <w:p w:rsidR="003C08DF" w:rsidRDefault="00E74ECD" w:rsidP="003C08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school is able to offer a wide and varied range of interventions to support our students and help them to thrive and enjoy their time at THS.</w:t>
            </w:r>
          </w:p>
        </w:tc>
      </w:tr>
      <w:tr w:rsidR="003C08DF" w:rsidTr="00A77646">
        <w:tc>
          <w:tcPr>
            <w:tcW w:w="3540" w:type="dxa"/>
          </w:tcPr>
          <w:p w:rsidR="003C08DF" w:rsidRPr="00E74ECD" w:rsidRDefault="00E74ECD" w:rsidP="003C08DF">
            <w:pPr>
              <w:rPr>
                <w:b/>
                <w:sz w:val="24"/>
                <w:szCs w:val="24"/>
                <w:lang w:val="en-US"/>
              </w:rPr>
            </w:pPr>
            <w:r w:rsidRPr="00E74ECD">
              <w:rPr>
                <w:b/>
                <w:sz w:val="24"/>
                <w:szCs w:val="24"/>
                <w:lang w:val="en-US"/>
              </w:rPr>
              <w:t>Completed by</w:t>
            </w:r>
          </w:p>
        </w:tc>
        <w:tc>
          <w:tcPr>
            <w:tcW w:w="10408" w:type="dxa"/>
          </w:tcPr>
          <w:p w:rsidR="00E74ECD" w:rsidRDefault="00E74ECD" w:rsidP="00A776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Tania Mayes </w:t>
            </w:r>
            <w:proofErr w:type="spellStart"/>
            <w:r>
              <w:rPr>
                <w:sz w:val="24"/>
                <w:szCs w:val="24"/>
                <w:lang w:val="en-US"/>
              </w:rPr>
              <w:t>SENDCo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A77646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May 2019</w:t>
            </w:r>
          </w:p>
        </w:tc>
      </w:tr>
    </w:tbl>
    <w:p w:rsidR="003C08DF" w:rsidRPr="003C08DF" w:rsidRDefault="003C08DF" w:rsidP="00A77646">
      <w:pPr>
        <w:rPr>
          <w:sz w:val="24"/>
          <w:szCs w:val="24"/>
          <w:lang w:val="en-US"/>
        </w:rPr>
      </w:pPr>
    </w:p>
    <w:sectPr w:rsidR="003C08DF" w:rsidRPr="003C08DF" w:rsidSect="003C08D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B6D" w:rsidRDefault="00841B6D" w:rsidP="003C3E17">
      <w:pPr>
        <w:spacing w:after="0" w:line="240" w:lineRule="auto"/>
      </w:pPr>
      <w:r>
        <w:separator/>
      </w:r>
    </w:p>
  </w:endnote>
  <w:endnote w:type="continuationSeparator" w:id="0">
    <w:p w:rsidR="00841B6D" w:rsidRDefault="00841B6D" w:rsidP="003C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B6D" w:rsidRDefault="00841B6D" w:rsidP="003C3E17">
      <w:pPr>
        <w:spacing w:after="0" w:line="240" w:lineRule="auto"/>
      </w:pPr>
      <w:r>
        <w:separator/>
      </w:r>
    </w:p>
  </w:footnote>
  <w:footnote w:type="continuationSeparator" w:id="0">
    <w:p w:rsidR="00841B6D" w:rsidRDefault="00841B6D" w:rsidP="003C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17" w:rsidRDefault="003C3E17">
    <w:pPr>
      <w:pStyle w:val="Header"/>
    </w:pPr>
    <w:r w:rsidRPr="003C3E17">
      <w:rPr>
        <w:noProof/>
        <w:lang w:val="en-US"/>
      </w:rPr>
      <w:drawing>
        <wp:inline distT="0" distB="0" distL="0" distR="0">
          <wp:extent cx="742950" cy="739942"/>
          <wp:effectExtent l="0" t="0" r="0" b="0"/>
          <wp:docPr id="1" name="Picture 1" descr="C:\Users\LAdlem\Downloads\ths logo six hous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dlem\Downloads\ths logo six houses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19" cy="743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08DF"/>
    <w:rsid w:val="003C08DF"/>
    <w:rsid w:val="003C3E17"/>
    <w:rsid w:val="00412CAD"/>
    <w:rsid w:val="00841B6D"/>
    <w:rsid w:val="00A77646"/>
    <w:rsid w:val="00BB7190"/>
    <w:rsid w:val="00E74ECD"/>
    <w:rsid w:val="00F84645"/>
  </w:rsids>
  <m:mathPr>
    <m:mathFont m:val="Bell Centennial Std SubCaptio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3C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17"/>
  </w:style>
  <w:style w:type="paragraph" w:styleId="Footer">
    <w:name w:val="footer"/>
    <w:basedOn w:val="Normal"/>
    <w:link w:val="FooterChar"/>
    <w:uiPriority w:val="99"/>
    <w:unhideWhenUsed/>
    <w:rsid w:val="003C3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Adlem</dc:creator>
  <cp:keywords/>
  <dc:description/>
  <cp:lastModifiedBy>Jess Hodges</cp:lastModifiedBy>
  <cp:revision>3</cp:revision>
  <dcterms:created xsi:type="dcterms:W3CDTF">2019-05-15T19:44:00Z</dcterms:created>
  <dcterms:modified xsi:type="dcterms:W3CDTF">2019-09-18T09:49:00Z</dcterms:modified>
</cp:coreProperties>
</file>