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4E" w:rsidRDefault="00086F6D" w:rsidP="00086F6D">
      <w:pPr>
        <w:jc w:val="center"/>
        <w:rPr>
          <w:lang w:val="en-US"/>
        </w:rPr>
      </w:pPr>
      <w:r>
        <w:rPr>
          <w:lang w:val="en-US"/>
        </w:rPr>
        <w:t>THS Learning Journey for Personal Development 2020-21</w:t>
      </w:r>
      <w:r w:rsidR="00D059DB">
        <w:rPr>
          <w:lang w:val="en-US"/>
        </w:rPr>
        <w:t xml:space="preserve"> Years 7-9</w:t>
      </w:r>
    </w:p>
    <w:tbl>
      <w:tblPr>
        <w:tblStyle w:val="TableGrid"/>
        <w:tblW w:w="15742" w:type="dxa"/>
        <w:tblLook w:val="04A0" w:firstRow="1" w:lastRow="0" w:firstColumn="1" w:lastColumn="0" w:noHBand="0" w:noVBand="1"/>
      </w:tblPr>
      <w:tblGrid>
        <w:gridCol w:w="2623"/>
        <w:gridCol w:w="2623"/>
        <w:gridCol w:w="2624"/>
        <w:gridCol w:w="2624"/>
        <w:gridCol w:w="2624"/>
        <w:gridCol w:w="2624"/>
      </w:tblGrid>
      <w:tr w:rsidR="00086F6D" w:rsidTr="00D059DB">
        <w:trPr>
          <w:trHeight w:val="245"/>
        </w:trPr>
        <w:tc>
          <w:tcPr>
            <w:tcW w:w="2623" w:type="dxa"/>
            <w:shd w:val="clear" w:color="auto" w:fill="FF9933"/>
          </w:tcPr>
          <w:p w:rsidR="00086F6D" w:rsidRDefault="00086F6D" w:rsidP="00086F6D">
            <w:pPr>
              <w:jc w:val="center"/>
              <w:rPr>
                <w:lang w:val="en-US"/>
              </w:rPr>
            </w:pPr>
            <w:r>
              <w:rPr>
                <w:lang w:val="en-US"/>
              </w:rPr>
              <w:t>Being in my world</w:t>
            </w:r>
          </w:p>
        </w:tc>
        <w:tc>
          <w:tcPr>
            <w:tcW w:w="2623" w:type="dxa"/>
            <w:shd w:val="clear" w:color="auto" w:fill="FF6699"/>
          </w:tcPr>
          <w:p w:rsidR="00086F6D" w:rsidRDefault="00086F6D" w:rsidP="00086F6D">
            <w:pPr>
              <w:jc w:val="center"/>
              <w:rPr>
                <w:lang w:val="en-US"/>
              </w:rPr>
            </w:pPr>
            <w:r>
              <w:rPr>
                <w:lang w:val="en-US"/>
              </w:rPr>
              <w:t>Celebrating differences</w:t>
            </w:r>
          </w:p>
        </w:tc>
        <w:tc>
          <w:tcPr>
            <w:tcW w:w="2624" w:type="dxa"/>
            <w:shd w:val="clear" w:color="auto" w:fill="CC66FF"/>
          </w:tcPr>
          <w:p w:rsidR="00086F6D" w:rsidRDefault="00086F6D" w:rsidP="00086F6D">
            <w:pPr>
              <w:jc w:val="center"/>
              <w:rPr>
                <w:lang w:val="en-US"/>
              </w:rPr>
            </w:pPr>
            <w:r>
              <w:rPr>
                <w:lang w:val="en-US"/>
              </w:rPr>
              <w:t>Dreams and goals</w:t>
            </w:r>
          </w:p>
        </w:tc>
        <w:tc>
          <w:tcPr>
            <w:tcW w:w="2624" w:type="dxa"/>
            <w:shd w:val="clear" w:color="auto" w:fill="BDD6EE" w:themeFill="accent1" w:themeFillTint="66"/>
          </w:tcPr>
          <w:p w:rsidR="00086F6D" w:rsidRDefault="00086F6D" w:rsidP="00086F6D">
            <w:pPr>
              <w:jc w:val="center"/>
              <w:rPr>
                <w:lang w:val="en-US"/>
              </w:rPr>
            </w:pPr>
            <w:r>
              <w:rPr>
                <w:lang w:val="en-US"/>
              </w:rPr>
              <w:t>Healthy me</w:t>
            </w:r>
          </w:p>
        </w:tc>
        <w:tc>
          <w:tcPr>
            <w:tcW w:w="2624" w:type="dxa"/>
            <w:shd w:val="clear" w:color="auto" w:fill="C5E0B3" w:themeFill="accent6" w:themeFillTint="66"/>
          </w:tcPr>
          <w:p w:rsidR="00086F6D" w:rsidRDefault="00086F6D" w:rsidP="00086F6D">
            <w:pPr>
              <w:jc w:val="center"/>
              <w:rPr>
                <w:lang w:val="en-US"/>
              </w:rPr>
            </w:pPr>
            <w:r>
              <w:rPr>
                <w:lang w:val="en-US"/>
              </w:rPr>
              <w:t>Relationships</w:t>
            </w:r>
          </w:p>
        </w:tc>
        <w:tc>
          <w:tcPr>
            <w:tcW w:w="2624" w:type="dxa"/>
            <w:shd w:val="clear" w:color="auto" w:fill="FF5050"/>
          </w:tcPr>
          <w:p w:rsidR="00086F6D" w:rsidRDefault="00086F6D" w:rsidP="00086F6D">
            <w:pPr>
              <w:jc w:val="center"/>
              <w:rPr>
                <w:lang w:val="en-US"/>
              </w:rPr>
            </w:pPr>
            <w:r>
              <w:rPr>
                <w:lang w:val="en-US"/>
              </w:rPr>
              <w:t>Changing me</w:t>
            </w:r>
          </w:p>
        </w:tc>
      </w:tr>
    </w:tbl>
    <w:p w:rsidR="00086F6D" w:rsidRDefault="00086F6D" w:rsidP="00D059DB">
      <w:pPr>
        <w:rPr>
          <w:lang w:val="en-US"/>
        </w:rPr>
      </w:pPr>
    </w:p>
    <w:tbl>
      <w:tblPr>
        <w:tblStyle w:val="TableGrid"/>
        <w:tblW w:w="16019" w:type="dxa"/>
        <w:tblInd w:w="-289" w:type="dxa"/>
        <w:tblLook w:val="04A0" w:firstRow="1" w:lastRow="0" w:firstColumn="1" w:lastColumn="0" w:noHBand="0" w:noVBand="1"/>
      </w:tblPr>
      <w:tblGrid>
        <w:gridCol w:w="615"/>
        <w:gridCol w:w="2363"/>
        <w:gridCol w:w="2551"/>
        <w:gridCol w:w="2693"/>
        <w:gridCol w:w="2552"/>
        <w:gridCol w:w="2717"/>
        <w:gridCol w:w="2528"/>
      </w:tblGrid>
      <w:tr w:rsidR="00D059DB" w:rsidTr="00D059DB">
        <w:tc>
          <w:tcPr>
            <w:tcW w:w="615" w:type="dxa"/>
          </w:tcPr>
          <w:p w:rsidR="00086F6D" w:rsidRDefault="00086F6D" w:rsidP="00086F6D">
            <w:pPr>
              <w:jc w:val="center"/>
              <w:rPr>
                <w:lang w:val="en-US"/>
              </w:rPr>
            </w:pPr>
          </w:p>
        </w:tc>
        <w:tc>
          <w:tcPr>
            <w:tcW w:w="2363" w:type="dxa"/>
          </w:tcPr>
          <w:p w:rsidR="00086F6D" w:rsidRDefault="00086F6D" w:rsidP="00086F6D">
            <w:pPr>
              <w:jc w:val="center"/>
              <w:rPr>
                <w:lang w:val="en-US"/>
              </w:rPr>
            </w:pPr>
            <w:r>
              <w:rPr>
                <w:lang w:val="en-US"/>
              </w:rPr>
              <w:t>Autumn 1</w:t>
            </w:r>
          </w:p>
        </w:tc>
        <w:tc>
          <w:tcPr>
            <w:tcW w:w="2551" w:type="dxa"/>
          </w:tcPr>
          <w:p w:rsidR="00086F6D" w:rsidRDefault="00086F6D" w:rsidP="00086F6D">
            <w:pPr>
              <w:jc w:val="center"/>
              <w:rPr>
                <w:lang w:val="en-US"/>
              </w:rPr>
            </w:pPr>
            <w:r>
              <w:rPr>
                <w:lang w:val="en-US"/>
              </w:rPr>
              <w:t>Autumn 2</w:t>
            </w:r>
          </w:p>
        </w:tc>
        <w:tc>
          <w:tcPr>
            <w:tcW w:w="2693" w:type="dxa"/>
          </w:tcPr>
          <w:p w:rsidR="00086F6D" w:rsidRDefault="00086F6D" w:rsidP="00086F6D">
            <w:pPr>
              <w:jc w:val="center"/>
              <w:rPr>
                <w:lang w:val="en-US"/>
              </w:rPr>
            </w:pPr>
            <w:r>
              <w:rPr>
                <w:lang w:val="en-US"/>
              </w:rPr>
              <w:t>Spring 1</w:t>
            </w:r>
          </w:p>
        </w:tc>
        <w:tc>
          <w:tcPr>
            <w:tcW w:w="2552" w:type="dxa"/>
          </w:tcPr>
          <w:p w:rsidR="00086F6D" w:rsidRDefault="00086F6D" w:rsidP="00086F6D">
            <w:pPr>
              <w:jc w:val="center"/>
              <w:rPr>
                <w:lang w:val="en-US"/>
              </w:rPr>
            </w:pPr>
            <w:r>
              <w:rPr>
                <w:lang w:val="en-US"/>
              </w:rPr>
              <w:t>Spring 2</w:t>
            </w:r>
          </w:p>
        </w:tc>
        <w:tc>
          <w:tcPr>
            <w:tcW w:w="2717" w:type="dxa"/>
          </w:tcPr>
          <w:p w:rsidR="00086F6D" w:rsidRDefault="00086F6D" w:rsidP="00086F6D">
            <w:pPr>
              <w:jc w:val="center"/>
              <w:rPr>
                <w:lang w:val="en-US"/>
              </w:rPr>
            </w:pPr>
            <w:r>
              <w:rPr>
                <w:lang w:val="en-US"/>
              </w:rPr>
              <w:t>Summer 1</w:t>
            </w:r>
          </w:p>
        </w:tc>
        <w:tc>
          <w:tcPr>
            <w:tcW w:w="2528" w:type="dxa"/>
          </w:tcPr>
          <w:p w:rsidR="00086F6D" w:rsidRDefault="00086F6D" w:rsidP="00086F6D">
            <w:pPr>
              <w:jc w:val="center"/>
              <w:rPr>
                <w:lang w:val="en-US"/>
              </w:rPr>
            </w:pPr>
            <w:r>
              <w:rPr>
                <w:lang w:val="en-US"/>
              </w:rPr>
              <w:t>Summer 2</w:t>
            </w:r>
          </w:p>
        </w:tc>
      </w:tr>
      <w:tr w:rsidR="00D059DB" w:rsidTr="00D059DB">
        <w:tc>
          <w:tcPr>
            <w:tcW w:w="615" w:type="dxa"/>
          </w:tcPr>
          <w:p w:rsidR="00086F6D" w:rsidRDefault="00086F6D" w:rsidP="00086F6D">
            <w:pPr>
              <w:jc w:val="center"/>
              <w:rPr>
                <w:lang w:val="en-US"/>
              </w:rPr>
            </w:pPr>
            <w:r>
              <w:rPr>
                <w:lang w:val="en-US"/>
              </w:rPr>
              <w:t>Year 7</w:t>
            </w:r>
          </w:p>
        </w:tc>
        <w:tc>
          <w:tcPr>
            <w:tcW w:w="2363" w:type="dxa"/>
            <w:shd w:val="clear" w:color="auto" w:fill="FF9933"/>
          </w:tcPr>
          <w:p w:rsidR="00086F6D" w:rsidRDefault="002B4C66" w:rsidP="00086F6D">
            <w:pPr>
              <w:jc w:val="center"/>
              <w:rPr>
                <w:lang w:val="en-US"/>
              </w:rPr>
            </w:pPr>
            <w:r w:rsidRPr="002B4C66">
              <w:rPr>
                <w:lang w:val="en-US"/>
              </w:rPr>
              <w:t>Unique me, differences &amp; conflict, my influences, peer pressure, online safety, sexting, consequences, online legislation</w:t>
            </w:r>
          </w:p>
        </w:tc>
        <w:tc>
          <w:tcPr>
            <w:tcW w:w="2551" w:type="dxa"/>
            <w:shd w:val="clear" w:color="auto" w:fill="BDD6EE" w:themeFill="accent1" w:themeFillTint="66"/>
          </w:tcPr>
          <w:p w:rsidR="00086F6D" w:rsidRDefault="002B4C66" w:rsidP="00086F6D">
            <w:pPr>
              <w:jc w:val="center"/>
              <w:rPr>
                <w:lang w:val="en-US"/>
              </w:rPr>
            </w:pPr>
            <w:r w:rsidRPr="002B4C66">
              <w:rPr>
                <w:lang w:val="en-US"/>
              </w:rPr>
              <w:t xml:space="preserve">Stress and anxiety, managing mental health, physical activity and mental health, effects of substances, nutrition, sleep, vaccination and </w:t>
            </w:r>
            <w:proofErr w:type="spellStart"/>
            <w:r w:rsidRPr="002B4C66">
              <w:rPr>
                <w:lang w:val="en-US"/>
              </w:rPr>
              <w:t>immunisation</w:t>
            </w:r>
            <w:proofErr w:type="spellEnd"/>
            <w:r w:rsidRPr="002B4C66">
              <w:rPr>
                <w:lang w:val="en-US"/>
              </w:rPr>
              <w:t>, importance of information on making health choices</w:t>
            </w:r>
          </w:p>
        </w:tc>
        <w:tc>
          <w:tcPr>
            <w:tcW w:w="2693" w:type="dxa"/>
            <w:shd w:val="clear" w:color="auto" w:fill="C5E0B3" w:themeFill="accent6" w:themeFillTint="66"/>
          </w:tcPr>
          <w:p w:rsidR="00086F6D" w:rsidRDefault="002B4C66" w:rsidP="00086F6D">
            <w:pPr>
              <w:jc w:val="center"/>
              <w:rPr>
                <w:lang w:val="en-US"/>
              </w:rPr>
            </w:pPr>
            <w:r w:rsidRPr="002B4C66">
              <w:rPr>
                <w:lang w:val="en-US"/>
              </w:rPr>
              <w:t>Characteristics of healthy relationships, healthy romantic relationships, consent, relationships and change, emotions within friendships, being discerning, assertiveness, sexting</w:t>
            </w:r>
          </w:p>
        </w:tc>
        <w:tc>
          <w:tcPr>
            <w:tcW w:w="2552" w:type="dxa"/>
            <w:shd w:val="clear" w:color="auto" w:fill="FF5050"/>
          </w:tcPr>
          <w:p w:rsidR="00086F6D" w:rsidRDefault="002B4C66" w:rsidP="00086F6D">
            <w:pPr>
              <w:jc w:val="center"/>
              <w:rPr>
                <w:lang w:val="en-US"/>
              </w:rPr>
            </w:pPr>
            <w:r w:rsidRPr="002B4C66">
              <w:rPr>
                <w:lang w:val="en-US"/>
              </w:rPr>
              <w:t>Puberty changes, FGM, breast flattening/ironing, responsibilities of parenthood, types of committed relationships, happiness and intimate relationships, media and self-esteem, self-image, brain changes in puberty, sources of help and support</w:t>
            </w:r>
          </w:p>
        </w:tc>
        <w:tc>
          <w:tcPr>
            <w:tcW w:w="2717" w:type="dxa"/>
            <w:shd w:val="clear" w:color="auto" w:fill="CC66FF"/>
          </w:tcPr>
          <w:p w:rsidR="00086F6D" w:rsidRDefault="002B4C66" w:rsidP="00086F6D">
            <w:pPr>
              <w:jc w:val="center"/>
              <w:rPr>
                <w:lang w:val="en-US"/>
              </w:rPr>
            </w:pPr>
            <w:r w:rsidRPr="002B4C66">
              <w:rPr>
                <w:lang w:val="en-US"/>
              </w:rPr>
              <w:t>Celebrating success, identifying goals, employment, learning from mistakes, overcoming challenges, planning skills, safe &amp; unsafe choices, substances, gangs, exploitation, emergency first aid</w:t>
            </w:r>
          </w:p>
        </w:tc>
        <w:tc>
          <w:tcPr>
            <w:tcW w:w="2528" w:type="dxa"/>
            <w:shd w:val="clear" w:color="auto" w:fill="FF6699"/>
          </w:tcPr>
          <w:p w:rsidR="00086F6D" w:rsidRDefault="002B4C66" w:rsidP="00086F6D">
            <w:pPr>
              <w:jc w:val="center"/>
              <w:rPr>
                <w:lang w:val="en-US"/>
              </w:rPr>
            </w:pPr>
            <w:r w:rsidRPr="002B4C66">
              <w:rPr>
                <w:lang w:val="en-US"/>
              </w:rPr>
              <w:t xml:space="preserve">Bullying, prejudice &amp; discrimination, Equality Act, bystanders, stereotyping, challenging negative </w:t>
            </w:r>
            <w:proofErr w:type="spellStart"/>
            <w:r w:rsidRPr="002B4C66">
              <w:rPr>
                <w:lang w:val="en-US"/>
              </w:rPr>
              <w:t>behaviour</w:t>
            </w:r>
            <w:proofErr w:type="spellEnd"/>
            <w:r w:rsidRPr="002B4C66">
              <w:rPr>
                <w:lang w:val="en-US"/>
              </w:rPr>
              <w:t xml:space="preserve"> and attitudes</w:t>
            </w:r>
          </w:p>
        </w:tc>
      </w:tr>
      <w:tr w:rsidR="00D059DB" w:rsidTr="00D059DB">
        <w:trPr>
          <w:trHeight w:val="1662"/>
        </w:trPr>
        <w:tc>
          <w:tcPr>
            <w:tcW w:w="615" w:type="dxa"/>
          </w:tcPr>
          <w:p w:rsidR="00086F6D" w:rsidRDefault="00086F6D" w:rsidP="00086F6D">
            <w:pPr>
              <w:jc w:val="center"/>
              <w:rPr>
                <w:lang w:val="en-US"/>
              </w:rPr>
            </w:pPr>
            <w:r>
              <w:rPr>
                <w:lang w:val="en-US"/>
              </w:rPr>
              <w:t>Year 8</w:t>
            </w:r>
          </w:p>
        </w:tc>
        <w:tc>
          <w:tcPr>
            <w:tcW w:w="2363" w:type="dxa"/>
            <w:shd w:val="clear" w:color="auto" w:fill="FF6699"/>
          </w:tcPr>
          <w:p w:rsidR="00086F6D" w:rsidRPr="00D059DB" w:rsidRDefault="002B4C66" w:rsidP="00086F6D">
            <w:pPr>
              <w:jc w:val="center"/>
              <w:rPr>
                <w:sz w:val="20"/>
                <w:szCs w:val="20"/>
                <w:lang w:val="en-US"/>
              </w:rPr>
            </w:pPr>
            <w:r w:rsidRPr="00D059DB">
              <w:rPr>
                <w:sz w:val="20"/>
                <w:szCs w:val="20"/>
                <w:lang w:val="en-US"/>
              </w:rPr>
              <w:t xml:space="preserve">Positive change made by others, how positive </w:t>
            </w:r>
            <w:proofErr w:type="spellStart"/>
            <w:r w:rsidRPr="00D059DB">
              <w:rPr>
                <w:sz w:val="20"/>
                <w:szCs w:val="20"/>
                <w:lang w:val="en-US"/>
              </w:rPr>
              <w:t>behaviour</w:t>
            </w:r>
            <w:proofErr w:type="spellEnd"/>
            <w:r w:rsidRPr="00D059DB">
              <w:rPr>
                <w:sz w:val="20"/>
                <w:szCs w:val="20"/>
                <w:lang w:val="en-US"/>
              </w:rPr>
              <w:t xml:space="preserve"> affects feelings of wellbeing, social injustice, inequality, community cohesion and support, multiculturalism, race and religion, prejudice, LGBT+ bullying</w:t>
            </w:r>
          </w:p>
        </w:tc>
        <w:tc>
          <w:tcPr>
            <w:tcW w:w="2551" w:type="dxa"/>
            <w:shd w:val="clear" w:color="auto" w:fill="C5E0B3" w:themeFill="accent6" w:themeFillTint="66"/>
          </w:tcPr>
          <w:p w:rsidR="00086F6D" w:rsidRPr="00D059DB" w:rsidRDefault="002B4C66" w:rsidP="00086F6D">
            <w:pPr>
              <w:jc w:val="center"/>
              <w:rPr>
                <w:sz w:val="20"/>
                <w:szCs w:val="20"/>
                <w:lang w:val="en-US"/>
              </w:rPr>
            </w:pPr>
            <w:r w:rsidRPr="00D059DB">
              <w:rPr>
                <w:sz w:val="20"/>
                <w:szCs w:val="20"/>
                <w:lang w:val="en-US"/>
              </w:rPr>
              <w:t>Positive relationship with self, social media and relationship with self, negative self-talk, managing a range of relationships, personal space, online etiquette, online privacy and personal safety, coercion, unhealthy balance of power in relationships, sources of support</w:t>
            </w:r>
          </w:p>
        </w:tc>
        <w:tc>
          <w:tcPr>
            <w:tcW w:w="2693" w:type="dxa"/>
            <w:shd w:val="clear" w:color="auto" w:fill="BDD6EE" w:themeFill="accent1" w:themeFillTint="66"/>
          </w:tcPr>
          <w:p w:rsidR="00086F6D" w:rsidRPr="00D059DB" w:rsidRDefault="002B4C66" w:rsidP="00086F6D">
            <w:pPr>
              <w:jc w:val="center"/>
              <w:rPr>
                <w:sz w:val="20"/>
                <w:szCs w:val="20"/>
                <w:lang w:val="en-US"/>
              </w:rPr>
            </w:pPr>
            <w:r w:rsidRPr="00D059DB">
              <w:rPr>
                <w:sz w:val="20"/>
                <w:szCs w:val="20"/>
                <w:lang w:val="en-US"/>
              </w:rPr>
              <w:t xml:space="preserve">Long-term physical health, responsibility for own health, dental health, stress triggers, substances and mood, legislation associated with substances, exploitation and substances, medicine, vaccinations, </w:t>
            </w:r>
            <w:proofErr w:type="spellStart"/>
            <w:r w:rsidRPr="00D059DB">
              <w:rPr>
                <w:sz w:val="20"/>
                <w:szCs w:val="20"/>
                <w:lang w:val="en-US"/>
              </w:rPr>
              <w:t>immunisation</w:t>
            </w:r>
            <w:proofErr w:type="spellEnd"/>
            <w:r w:rsidRPr="00D059DB">
              <w:rPr>
                <w:sz w:val="20"/>
                <w:szCs w:val="20"/>
                <w:lang w:val="en-US"/>
              </w:rPr>
              <w:t xml:space="preserve"> Blood donation</w:t>
            </w:r>
          </w:p>
        </w:tc>
        <w:tc>
          <w:tcPr>
            <w:tcW w:w="2552" w:type="dxa"/>
            <w:shd w:val="clear" w:color="auto" w:fill="CC66FF"/>
          </w:tcPr>
          <w:p w:rsidR="00086F6D" w:rsidRPr="00D059DB" w:rsidRDefault="002B4C66" w:rsidP="00086F6D">
            <w:pPr>
              <w:jc w:val="center"/>
              <w:rPr>
                <w:sz w:val="20"/>
                <w:szCs w:val="20"/>
                <w:lang w:val="en-US"/>
              </w:rPr>
            </w:pPr>
            <w:r w:rsidRPr="00D059DB">
              <w:rPr>
                <w:sz w:val="20"/>
                <w:szCs w:val="20"/>
                <w:lang w:val="en-US"/>
              </w:rPr>
              <w:t>Long-term goals, skills, qualifications, careers, money and happiness, ethics and mental wellbeing, budgeting, variation in income, positive and negative impact of money, online legal responsibilities, gambling issues</w:t>
            </w:r>
          </w:p>
        </w:tc>
        <w:tc>
          <w:tcPr>
            <w:tcW w:w="2717" w:type="dxa"/>
            <w:shd w:val="clear" w:color="auto" w:fill="FF9933"/>
          </w:tcPr>
          <w:p w:rsidR="002B4C66" w:rsidRPr="00D059DB" w:rsidRDefault="002B4C66" w:rsidP="00086F6D">
            <w:pPr>
              <w:jc w:val="center"/>
              <w:rPr>
                <w:sz w:val="20"/>
                <w:szCs w:val="20"/>
                <w:lang w:val="en-US"/>
              </w:rPr>
            </w:pPr>
            <w:r w:rsidRPr="00D059DB">
              <w:rPr>
                <w:sz w:val="20"/>
                <w:szCs w:val="20"/>
                <w:lang w:val="en-US"/>
              </w:rPr>
              <w:t xml:space="preserve">Self-identity, family and identity, stereotypes, personal beliefs and judgements, managing expectations, first impressions, respect for the beliefs of others. </w:t>
            </w:r>
          </w:p>
          <w:p w:rsidR="00086F6D" w:rsidRPr="00D059DB" w:rsidRDefault="002B4C66" w:rsidP="00086F6D">
            <w:pPr>
              <w:jc w:val="center"/>
              <w:rPr>
                <w:sz w:val="20"/>
                <w:szCs w:val="20"/>
                <w:lang w:val="en-US"/>
              </w:rPr>
            </w:pPr>
            <w:r w:rsidRPr="00D059DB">
              <w:rPr>
                <w:sz w:val="20"/>
                <w:szCs w:val="20"/>
                <w:lang w:val="en-US"/>
              </w:rPr>
              <w:t>Active listening</w:t>
            </w:r>
          </w:p>
        </w:tc>
        <w:tc>
          <w:tcPr>
            <w:tcW w:w="2528" w:type="dxa"/>
            <w:shd w:val="clear" w:color="auto" w:fill="FF5050"/>
          </w:tcPr>
          <w:p w:rsidR="00086F6D" w:rsidRPr="00D059DB" w:rsidRDefault="002B4C66" w:rsidP="00086F6D">
            <w:pPr>
              <w:jc w:val="center"/>
              <w:rPr>
                <w:sz w:val="20"/>
                <w:szCs w:val="20"/>
                <w:lang w:val="en-US"/>
              </w:rPr>
            </w:pPr>
            <w:r w:rsidRPr="00D059DB">
              <w:rPr>
                <w:sz w:val="20"/>
                <w:szCs w:val="20"/>
                <w:lang w:val="en-US"/>
              </w:rPr>
              <w:t xml:space="preserve">Types of close intimate relationships, physical attraction, legal status of relationships, </w:t>
            </w:r>
            <w:proofErr w:type="spellStart"/>
            <w:r w:rsidRPr="00D059DB">
              <w:rPr>
                <w:sz w:val="20"/>
                <w:szCs w:val="20"/>
                <w:lang w:val="en-US"/>
              </w:rPr>
              <w:t>behaviours</w:t>
            </w:r>
            <w:proofErr w:type="spellEnd"/>
            <w:r w:rsidRPr="00D059DB">
              <w:rPr>
                <w:sz w:val="20"/>
                <w:szCs w:val="20"/>
                <w:lang w:val="en-US"/>
              </w:rPr>
              <w:t xml:space="preserve"> in healthy and unhealthy romantic relationships, pornography, sexuality, alcohol and risky </w:t>
            </w:r>
            <w:proofErr w:type="spellStart"/>
            <w:r w:rsidRPr="00D059DB">
              <w:rPr>
                <w:sz w:val="20"/>
                <w:szCs w:val="20"/>
                <w:lang w:val="en-US"/>
              </w:rPr>
              <w:t>behaviour</w:t>
            </w:r>
            <w:proofErr w:type="spellEnd"/>
          </w:p>
        </w:tc>
      </w:tr>
      <w:tr w:rsidR="00D059DB" w:rsidTr="00D059DB">
        <w:tc>
          <w:tcPr>
            <w:tcW w:w="615" w:type="dxa"/>
          </w:tcPr>
          <w:p w:rsidR="00086F6D" w:rsidRDefault="00086F6D" w:rsidP="00086F6D">
            <w:pPr>
              <w:jc w:val="center"/>
              <w:rPr>
                <w:lang w:val="en-US"/>
              </w:rPr>
            </w:pPr>
            <w:r>
              <w:rPr>
                <w:lang w:val="en-US"/>
              </w:rPr>
              <w:t>Year 9</w:t>
            </w:r>
          </w:p>
        </w:tc>
        <w:tc>
          <w:tcPr>
            <w:tcW w:w="2363" w:type="dxa"/>
            <w:shd w:val="clear" w:color="auto" w:fill="FF6699"/>
          </w:tcPr>
          <w:p w:rsidR="00086F6D" w:rsidRPr="00D059DB" w:rsidRDefault="00D059DB" w:rsidP="00086F6D">
            <w:pPr>
              <w:jc w:val="center"/>
              <w:rPr>
                <w:sz w:val="20"/>
                <w:szCs w:val="20"/>
                <w:lang w:val="en-US"/>
              </w:rPr>
            </w:pPr>
            <w:r w:rsidRPr="00D059DB">
              <w:rPr>
                <w:sz w:val="20"/>
                <w:szCs w:val="20"/>
                <w:lang w:val="en-US"/>
              </w:rPr>
              <w:t xml:space="preserve">Protected characteristics, Equality Act, phobic and racist language, legal consequences of bullying and hate crime, sexism, ageism, positive and negative language, banter, bullying in the workplace, direct and indirect discrimination, harassment, </w:t>
            </w:r>
            <w:proofErr w:type="spellStart"/>
            <w:proofErr w:type="gramStart"/>
            <w:r w:rsidRPr="00D059DB">
              <w:rPr>
                <w:sz w:val="20"/>
                <w:szCs w:val="20"/>
                <w:lang w:val="en-US"/>
              </w:rPr>
              <w:t>victimisation</w:t>
            </w:r>
            <w:proofErr w:type="spellEnd"/>
            <w:proofErr w:type="gramEnd"/>
            <w:r w:rsidRPr="00D059DB">
              <w:rPr>
                <w:sz w:val="20"/>
                <w:szCs w:val="20"/>
                <w:lang w:val="en-US"/>
              </w:rPr>
              <w:t>. Prejudice, discrimination and stereotyping</w:t>
            </w:r>
          </w:p>
        </w:tc>
        <w:tc>
          <w:tcPr>
            <w:tcW w:w="2551" w:type="dxa"/>
            <w:shd w:val="clear" w:color="auto" w:fill="C5E0B3" w:themeFill="accent6" w:themeFillTint="66"/>
          </w:tcPr>
          <w:p w:rsidR="00086F6D" w:rsidRPr="00D059DB" w:rsidRDefault="00D059DB" w:rsidP="00086F6D">
            <w:pPr>
              <w:jc w:val="center"/>
              <w:rPr>
                <w:sz w:val="20"/>
                <w:szCs w:val="20"/>
                <w:lang w:val="en-US"/>
              </w:rPr>
            </w:pPr>
            <w:r w:rsidRPr="00D059DB">
              <w:rPr>
                <w:sz w:val="20"/>
                <w:szCs w:val="20"/>
                <w:lang w:val="en-US"/>
              </w:rPr>
              <w:t>Power and control in intimate relationships, risk in intimate relationships, importance of sexual consent, assertiveness skills, sex and the law, pornography and stereotypes, contraception choices, family planning, STIs, support and advice services</w:t>
            </w:r>
          </w:p>
        </w:tc>
        <w:tc>
          <w:tcPr>
            <w:tcW w:w="2693" w:type="dxa"/>
            <w:shd w:val="clear" w:color="auto" w:fill="CC66FF"/>
          </w:tcPr>
          <w:p w:rsidR="00086F6D" w:rsidRPr="00D059DB" w:rsidRDefault="00D059DB" w:rsidP="00086F6D">
            <w:pPr>
              <w:jc w:val="center"/>
              <w:rPr>
                <w:sz w:val="20"/>
                <w:szCs w:val="20"/>
                <w:lang w:val="en-US"/>
              </w:rPr>
            </w:pPr>
            <w:r w:rsidRPr="00D059DB">
              <w:rPr>
                <w:sz w:val="20"/>
                <w:szCs w:val="20"/>
                <w:lang w:val="en-US"/>
              </w:rPr>
              <w:t>Personal strengths, health goals, SMART planning, links between body image and mental health, nonfinancial dreams and goals, mental health and ill health, media manipulation, self-harm, anxiety disorders, eating disorders, depression.</w:t>
            </w:r>
          </w:p>
        </w:tc>
        <w:tc>
          <w:tcPr>
            <w:tcW w:w="2552" w:type="dxa"/>
            <w:shd w:val="clear" w:color="auto" w:fill="BDD6EE" w:themeFill="accent1" w:themeFillTint="66"/>
          </w:tcPr>
          <w:p w:rsidR="00086F6D" w:rsidRPr="00D059DB" w:rsidRDefault="00D059DB" w:rsidP="00086F6D">
            <w:pPr>
              <w:jc w:val="center"/>
              <w:rPr>
                <w:sz w:val="20"/>
                <w:szCs w:val="20"/>
                <w:lang w:val="en-US"/>
              </w:rPr>
            </w:pPr>
            <w:r w:rsidRPr="00D059DB">
              <w:rPr>
                <w:sz w:val="20"/>
                <w:szCs w:val="20"/>
                <w:lang w:val="en-US"/>
              </w:rPr>
              <w:t>Misperceptions about young peoples’ health choices, physical and psychological effects of alcohol, alcohol and the law, alcohol dependency, drug classification, supply and possession legislation, emergency situations, first aid, CPR, substances and safety, sources of advice and support</w:t>
            </w:r>
          </w:p>
        </w:tc>
        <w:tc>
          <w:tcPr>
            <w:tcW w:w="2717" w:type="dxa"/>
            <w:shd w:val="clear" w:color="auto" w:fill="FF5050"/>
          </w:tcPr>
          <w:p w:rsidR="00086F6D" w:rsidRPr="00D059DB" w:rsidRDefault="00D059DB" w:rsidP="00086F6D">
            <w:pPr>
              <w:jc w:val="center"/>
              <w:rPr>
                <w:sz w:val="20"/>
                <w:szCs w:val="20"/>
                <w:lang w:val="en-US"/>
              </w:rPr>
            </w:pPr>
            <w:r w:rsidRPr="00D059DB">
              <w:rPr>
                <w:sz w:val="20"/>
                <w:szCs w:val="20"/>
                <w:lang w:val="en-US"/>
              </w:rPr>
              <w:t>Mental health stigma, triggers, support strategies, managing emotional changes, resilience and how to improve it, reflection on importance of sleep in relation to mental health, reflection on body and brain changes, stereotypes</w:t>
            </w:r>
          </w:p>
        </w:tc>
        <w:tc>
          <w:tcPr>
            <w:tcW w:w="2528" w:type="dxa"/>
            <w:shd w:val="clear" w:color="auto" w:fill="FF9933"/>
          </w:tcPr>
          <w:p w:rsidR="00086F6D" w:rsidRPr="00D059DB" w:rsidRDefault="00D059DB" w:rsidP="00086F6D">
            <w:pPr>
              <w:jc w:val="center"/>
              <w:rPr>
                <w:sz w:val="20"/>
                <w:szCs w:val="20"/>
                <w:lang w:val="en-US"/>
              </w:rPr>
            </w:pPr>
            <w:r w:rsidRPr="00D059DB">
              <w:rPr>
                <w:sz w:val="20"/>
                <w:szCs w:val="20"/>
                <w:lang w:val="en-US"/>
              </w:rPr>
              <w:t xml:space="preserve">Perceptions about intimate relationships, consent, sexual exploitation, peer approval, grooming, radicalization, county lines, risky experimentation, positive and negative </w:t>
            </w:r>
            <w:proofErr w:type="spellStart"/>
            <w:r w:rsidRPr="00D059DB">
              <w:rPr>
                <w:sz w:val="20"/>
                <w:szCs w:val="20"/>
                <w:lang w:val="en-US"/>
              </w:rPr>
              <w:t>self</w:t>
            </w:r>
            <w:r>
              <w:rPr>
                <w:sz w:val="20"/>
                <w:szCs w:val="20"/>
                <w:lang w:val="en-US"/>
              </w:rPr>
              <w:t xml:space="preserve"> </w:t>
            </w:r>
            <w:r w:rsidRPr="00D059DB">
              <w:rPr>
                <w:sz w:val="20"/>
                <w:szCs w:val="20"/>
                <w:lang w:val="en-US"/>
              </w:rPr>
              <w:t>identity</w:t>
            </w:r>
            <w:proofErr w:type="spellEnd"/>
            <w:r w:rsidRPr="00D059DB">
              <w:rPr>
                <w:sz w:val="20"/>
                <w:szCs w:val="20"/>
                <w:lang w:val="en-US"/>
              </w:rPr>
              <w:t>, abuse and coercion, coercive control</w:t>
            </w:r>
          </w:p>
        </w:tc>
      </w:tr>
    </w:tbl>
    <w:p w:rsidR="00D059DB" w:rsidRDefault="00D059DB" w:rsidP="00D059DB">
      <w:pPr>
        <w:jc w:val="center"/>
        <w:rPr>
          <w:lang w:val="en-US"/>
        </w:rPr>
      </w:pPr>
      <w:r>
        <w:rPr>
          <w:lang w:val="en-US"/>
        </w:rPr>
        <w:lastRenderedPageBreak/>
        <w:t>THS Learning Journey for Personal Development 2020-21 Years</w:t>
      </w:r>
      <w:r w:rsidR="00152152">
        <w:rPr>
          <w:lang w:val="en-US"/>
        </w:rPr>
        <w:t xml:space="preserve"> 10 &amp;11</w:t>
      </w:r>
    </w:p>
    <w:tbl>
      <w:tblPr>
        <w:tblStyle w:val="TableGrid"/>
        <w:tblW w:w="15742" w:type="dxa"/>
        <w:tblLook w:val="04A0" w:firstRow="1" w:lastRow="0" w:firstColumn="1" w:lastColumn="0" w:noHBand="0" w:noVBand="1"/>
      </w:tblPr>
      <w:tblGrid>
        <w:gridCol w:w="2623"/>
        <w:gridCol w:w="2623"/>
        <w:gridCol w:w="2624"/>
        <w:gridCol w:w="2624"/>
        <w:gridCol w:w="2624"/>
        <w:gridCol w:w="2624"/>
      </w:tblGrid>
      <w:tr w:rsidR="00D059DB" w:rsidTr="00B45B90">
        <w:trPr>
          <w:trHeight w:val="245"/>
        </w:trPr>
        <w:tc>
          <w:tcPr>
            <w:tcW w:w="2623" w:type="dxa"/>
            <w:shd w:val="clear" w:color="auto" w:fill="FF9933"/>
          </w:tcPr>
          <w:p w:rsidR="00D059DB" w:rsidRDefault="00D059DB" w:rsidP="00B45B90">
            <w:pPr>
              <w:jc w:val="center"/>
              <w:rPr>
                <w:lang w:val="en-US"/>
              </w:rPr>
            </w:pPr>
            <w:r>
              <w:rPr>
                <w:lang w:val="en-US"/>
              </w:rPr>
              <w:t>Being in my world</w:t>
            </w:r>
          </w:p>
        </w:tc>
        <w:tc>
          <w:tcPr>
            <w:tcW w:w="2623" w:type="dxa"/>
            <w:shd w:val="clear" w:color="auto" w:fill="FF6699"/>
          </w:tcPr>
          <w:p w:rsidR="00D059DB" w:rsidRDefault="00D059DB" w:rsidP="00B45B90">
            <w:pPr>
              <w:jc w:val="center"/>
              <w:rPr>
                <w:lang w:val="en-US"/>
              </w:rPr>
            </w:pPr>
            <w:r>
              <w:rPr>
                <w:lang w:val="en-US"/>
              </w:rPr>
              <w:t>Celebrating differences</w:t>
            </w:r>
          </w:p>
        </w:tc>
        <w:tc>
          <w:tcPr>
            <w:tcW w:w="2624" w:type="dxa"/>
            <w:shd w:val="clear" w:color="auto" w:fill="CC66FF"/>
          </w:tcPr>
          <w:p w:rsidR="00D059DB" w:rsidRDefault="00D059DB" w:rsidP="00B45B90">
            <w:pPr>
              <w:jc w:val="center"/>
              <w:rPr>
                <w:lang w:val="en-US"/>
              </w:rPr>
            </w:pPr>
            <w:r>
              <w:rPr>
                <w:lang w:val="en-US"/>
              </w:rPr>
              <w:t>Dreams and goals</w:t>
            </w:r>
          </w:p>
        </w:tc>
        <w:tc>
          <w:tcPr>
            <w:tcW w:w="2624" w:type="dxa"/>
            <w:shd w:val="clear" w:color="auto" w:fill="BDD6EE" w:themeFill="accent1" w:themeFillTint="66"/>
          </w:tcPr>
          <w:p w:rsidR="00D059DB" w:rsidRDefault="00D059DB" w:rsidP="00B45B90">
            <w:pPr>
              <w:jc w:val="center"/>
              <w:rPr>
                <w:lang w:val="en-US"/>
              </w:rPr>
            </w:pPr>
            <w:r>
              <w:rPr>
                <w:lang w:val="en-US"/>
              </w:rPr>
              <w:t>Healthy me</w:t>
            </w:r>
          </w:p>
        </w:tc>
        <w:tc>
          <w:tcPr>
            <w:tcW w:w="2624" w:type="dxa"/>
            <w:shd w:val="clear" w:color="auto" w:fill="C5E0B3" w:themeFill="accent6" w:themeFillTint="66"/>
          </w:tcPr>
          <w:p w:rsidR="00D059DB" w:rsidRDefault="00D059DB" w:rsidP="00B45B90">
            <w:pPr>
              <w:jc w:val="center"/>
              <w:rPr>
                <w:lang w:val="en-US"/>
              </w:rPr>
            </w:pPr>
            <w:r>
              <w:rPr>
                <w:lang w:val="en-US"/>
              </w:rPr>
              <w:t>Relationships</w:t>
            </w:r>
          </w:p>
        </w:tc>
        <w:tc>
          <w:tcPr>
            <w:tcW w:w="2624" w:type="dxa"/>
            <w:shd w:val="clear" w:color="auto" w:fill="FF5050"/>
          </w:tcPr>
          <w:p w:rsidR="00D059DB" w:rsidRDefault="00D059DB" w:rsidP="00B45B90">
            <w:pPr>
              <w:jc w:val="center"/>
              <w:rPr>
                <w:lang w:val="en-US"/>
              </w:rPr>
            </w:pPr>
            <w:r>
              <w:rPr>
                <w:lang w:val="en-US"/>
              </w:rPr>
              <w:t>Changing me</w:t>
            </w:r>
          </w:p>
        </w:tc>
      </w:tr>
    </w:tbl>
    <w:p w:rsidR="00086F6D" w:rsidRDefault="00086F6D" w:rsidP="00086F6D">
      <w:pPr>
        <w:jc w:val="center"/>
        <w:rPr>
          <w:lang w:val="en-US"/>
        </w:rPr>
      </w:pPr>
    </w:p>
    <w:tbl>
      <w:tblPr>
        <w:tblStyle w:val="TableGrid"/>
        <w:tblW w:w="16161" w:type="dxa"/>
        <w:tblInd w:w="-431" w:type="dxa"/>
        <w:tblLook w:val="04A0" w:firstRow="1" w:lastRow="0" w:firstColumn="1" w:lastColumn="0" w:noHBand="0" w:noVBand="1"/>
      </w:tblPr>
      <w:tblGrid>
        <w:gridCol w:w="615"/>
        <w:gridCol w:w="2505"/>
        <w:gridCol w:w="2551"/>
        <w:gridCol w:w="2693"/>
        <w:gridCol w:w="2694"/>
        <w:gridCol w:w="2585"/>
        <w:gridCol w:w="2518"/>
      </w:tblGrid>
      <w:tr w:rsidR="00D059DB" w:rsidRPr="00152152" w:rsidTr="00D059DB">
        <w:tc>
          <w:tcPr>
            <w:tcW w:w="615" w:type="dxa"/>
          </w:tcPr>
          <w:p w:rsidR="00D059DB" w:rsidRPr="00152152" w:rsidRDefault="00D059DB" w:rsidP="00D059DB">
            <w:pPr>
              <w:jc w:val="center"/>
              <w:rPr>
                <w:sz w:val="20"/>
                <w:szCs w:val="20"/>
                <w:lang w:val="en-US"/>
              </w:rPr>
            </w:pPr>
          </w:p>
        </w:tc>
        <w:tc>
          <w:tcPr>
            <w:tcW w:w="2505" w:type="dxa"/>
          </w:tcPr>
          <w:p w:rsidR="00D059DB" w:rsidRPr="00152152" w:rsidRDefault="00D059DB" w:rsidP="00D059DB">
            <w:pPr>
              <w:jc w:val="center"/>
              <w:rPr>
                <w:sz w:val="20"/>
                <w:szCs w:val="20"/>
                <w:lang w:val="en-US"/>
              </w:rPr>
            </w:pPr>
            <w:r w:rsidRPr="00152152">
              <w:rPr>
                <w:sz w:val="20"/>
                <w:szCs w:val="20"/>
                <w:lang w:val="en-US"/>
              </w:rPr>
              <w:t>Autumn 1</w:t>
            </w:r>
          </w:p>
        </w:tc>
        <w:tc>
          <w:tcPr>
            <w:tcW w:w="2551" w:type="dxa"/>
          </w:tcPr>
          <w:p w:rsidR="00D059DB" w:rsidRPr="00152152" w:rsidRDefault="00D059DB" w:rsidP="00D059DB">
            <w:pPr>
              <w:jc w:val="center"/>
              <w:rPr>
                <w:sz w:val="20"/>
                <w:szCs w:val="20"/>
                <w:lang w:val="en-US"/>
              </w:rPr>
            </w:pPr>
            <w:r w:rsidRPr="00152152">
              <w:rPr>
                <w:sz w:val="20"/>
                <w:szCs w:val="20"/>
                <w:lang w:val="en-US"/>
              </w:rPr>
              <w:t>Autumn 2</w:t>
            </w:r>
          </w:p>
        </w:tc>
        <w:tc>
          <w:tcPr>
            <w:tcW w:w="2693" w:type="dxa"/>
          </w:tcPr>
          <w:p w:rsidR="00D059DB" w:rsidRPr="00152152" w:rsidRDefault="00D059DB" w:rsidP="00D059DB">
            <w:pPr>
              <w:jc w:val="center"/>
              <w:rPr>
                <w:sz w:val="20"/>
                <w:szCs w:val="20"/>
                <w:lang w:val="en-US"/>
              </w:rPr>
            </w:pPr>
            <w:r w:rsidRPr="00152152">
              <w:rPr>
                <w:sz w:val="20"/>
                <w:szCs w:val="20"/>
                <w:lang w:val="en-US"/>
              </w:rPr>
              <w:t>Spring 1</w:t>
            </w:r>
          </w:p>
        </w:tc>
        <w:tc>
          <w:tcPr>
            <w:tcW w:w="2694" w:type="dxa"/>
          </w:tcPr>
          <w:p w:rsidR="00D059DB" w:rsidRPr="00152152" w:rsidRDefault="00D059DB" w:rsidP="00D059DB">
            <w:pPr>
              <w:jc w:val="center"/>
              <w:rPr>
                <w:sz w:val="20"/>
                <w:szCs w:val="20"/>
                <w:lang w:val="en-US"/>
              </w:rPr>
            </w:pPr>
            <w:r w:rsidRPr="00152152">
              <w:rPr>
                <w:sz w:val="20"/>
                <w:szCs w:val="20"/>
                <w:lang w:val="en-US"/>
              </w:rPr>
              <w:t>Spring 2</w:t>
            </w:r>
          </w:p>
        </w:tc>
        <w:tc>
          <w:tcPr>
            <w:tcW w:w="2585" w:type="dxa"/>
          </w:tcPr>
          <w:p w:rsidR="00D059DB" w:rsidRPr="00152152" w:rsidRDefault="00D059DB" w:rsidP="00D059DB">
            <w:pPr>
              <w:jc w:val="center"/>
              <w:rPr>
                <w:sz w:val="20"/>
                <w:szCs w:val="20"/>
                <w:lang w:val="en-US"/>
              </w:rPr>
            </w:pPr>
            <w:r w:rsidRPr="00152152">
              <w:rPr>
                <w:sz w:val="20"/>
                <w:szCs w:val="20"/>
                <w:lang w:val="en-US"/>
              </w:rPr>
              <w:t>Summer 1</w:t>
            </w:r>
          </w:p>
        </w:tc>
        <w:tc>
          <w:tcPr>
            <w:tcW w:w="2518" w:type="dxa"/>
          </w:tcPr>
          <w:p w:rsidR="00D059DB" w:rsidRPr="00152152" w:rsidRDefault="00D059DB" w:rsidP="00D059DB">
            <w:pPr>
              <w:jc w:val="center"/>
              <w:rPr>
                <w:sz w:val="20"/>
                <w:szCs w:val="20"/>
                <w:lang w:val="en-US"/>
              </w:rPr>
            </w:pPr>
            <w:r w:rsidRPr="00152152">
              <w:rPr>
                <w:sz w:val="20"/>
                <w:szCs w:val="20"/>
                <w:lang w:val="en-US"/>
              </w:rPr>
              <w:t>Summer 2</w:t>
            </w:r>
          </w:p>
        </w:tc>
      </w:tr>
      <w:tr w:rsidR="00152152" w:rsidRPr="00152152" w:rsidTr="00152152">
        <w:tc>
          <w:tcPr>
            <w:tcW w:w="615" w:type="dxa"/>
          </w:tcPr>
          <w:p w:rsidR="00D059DB" w:rsidRPr="00152152" w:rsidRDefault="00D059DB" w:rsidP="00086F6D">
            <w:pPr>
              <w:jc w:val="center"/>
              <w:rPr>
                <w:sz w:val="20"/>
                <w:szCs w:val="20"/>
                <w:lang w:val="en-US"/>
              </w:rPr>
            </w:pPr>
            <w:r w:rsidRPr="00152152">
              <w:rPr>
                <w:sz w:val="20"/>
                <w:szCs w:val="20"/>
                <w:lang w:val="en-US"/>
              </w:rPr>
              <w:t>Year 10</w:t>
            </w:r>
          </w:p>
        </w:tc>
        <w:tc>
          <w:tcPr>
            <w:tcW w:w="2505" w:type="dxa"/>
            <w:shd w:val="clear" w:color="auto" w:fill="CC66FF"/>
          </w:tcPr>
          <w:p w:rsidR="00152152" w:rsidRDefault="00152152" w:rsidP="00086F6D">
            <w:pPr>
              <w:jc w:val="center"/>
              <w:rPr>
                <w:sz w:val="20"/>
                <w:szCs w:val="20"/>
                <w:lang w:val="en-US"/>
              </w:rPr>
            </w:pPr>
          </w:p>
          <w:p w:rsidR="00D059DB" w:rsidRDefault="00D059DB" w:rsidP="00086F6D">
            <w:pPr>
              <w:jc w:val="center"/>
              <w:rPr>
                <w:sz w:val="20"/>
                <w:szCs w:val="20"/>
                <w:lang w:val="en-US"/>
              </w:rPr>
            </w:pPr>
            <w:r w:rsidRPr="00152152">
              <w:rPr>
                <w:sz w:val="20"/>
                <w:szCs w:val="20"/>
                <w:lang w:val="en-US"/>
              </w:rPr>
              <w:t>Impact of physical health in reaching goals, relationships and reaching goals, work/life balance, connections and impact on mental health, benefits of helping others, online profile and impact on future goals</w:t>
            </w:r>
          </w:p>
          <w:p w:rsidR="00152152" w:rsidRPr="00152152" w:rsidRDefault="00152152" w:rsidP="00086F6D">
            <w:pPr>
              <w:jc w:val="center"/>
              <w:rPr>
                <w:sz w:val="20"/>
                <w:szCs w:val="20"/>
                <w:lang w:val="en-US"/>
              </w:rPr>
            </w:pPr>
          </w:p>
        </w:tc>
        <w:tc>
          <w:tcPr>
            <w:tcW w:w="2551" w:type="dxa"/>
            <w:shd w:val="clear" w:color="auto" w:fill="BDD6EE" w:themeFill="accent1" w:themeFillTint="66"/>
          </w:tcPr>
          <w:p w:rsidR="00152152" w:rsidRDefault="00152152" w:rsidP="00086F6D">
            <w:pPr>
              <w:jc w:val="center"/>
              <w:rPr>
                <w:sz w:val="20"/>
                <w:szCs w:val="20"/>
                <w:lang w:val="en-US"/>
              </w:rPr>
            </w:pPr>
          </w:p>
          <w:p w:rsidR="00D059DB" w:rsidRDefault="00D059DB" w:rsidP="00086F6D">
            <w:pPr>
              <w:jc w:val="center"/>
              <w:rPr>
                <w:sz w:val="20"/>
                <w:szCs w:val="20"/>
                <w:lang w:val="en-US"/>
              </w:rPr>
            </w:pPr>
            <w:r w:rsidRPr="00152152">
              <w:rPr>
                <w:sz w:val="20"/>
                <w:szCs w:val="20"/>
                <w:lang w:val="en-US"/>
              </w:rPr>
              <w:t>Improving health, sexual heal</w:t>
            </w:r>
            <w:r w:rsidR="00152152">
              <w:rPr>
                <w:sz w:val="20"/>
                <w:szCs w:val="20"/>
                <w:lang w:val="en-US"/>
              </w:rPr>
              <w:t>th, blood-borne infections, self-</w:t>
            </w:r>
            <w:r w:rsidRPr="00152152">
              <w:rPr>
                <w:sz w:val="20"/>
                <w:szCs w:val="20"/>
                <w:lang w:val="en-US"/>
              </w:rPr>
              <w:t>examination, diet and long-term health, misuse of prescription drugs, common mental health disorders, positive impact of volunteering, common threats to health including chronic disease, epidemics, misuse of antibiotics Organ donation Stem cells</w:t>
            </w:r>
          </w:p>
          <w:p w:rsidR="00152152" w:rsidRPr="00152152" w:rsidRDefault="00152152" w:rsidP="00086F6D">
            <w:pPr>
              <w:jc w:val="center"/>
              <w:rPr>
                <w:sz w:val="20"/>
                <w:szCs w:val="20"/>
                <w:lang w:val="en-US"/>
              </w:rPr>
            </w:pPr>
          </w:p>
        </w:tc>
        <w:tc>
          <w:tcPr>
            <w:tcW w:w="2693" w:type="dxa"/>
            <w:shd w:val="clear" w:color="auto" w:fill="C5E0B3" w:themeFill="accent6" w:themeFillTint="66"/>
          </w:tcPr>
          <w:p w:rsidR="00152152" w:rsidRDefault="00152152" w:rsidP="00086F6D">
            <w:pPr>
              <w:jc w:val="center"/>
              <w:rPr>
                <w:sz w:val="20"/>
                <w:szCs w:val="20"/>
                <w:lang w:val="en-US"/>
              </w:rPr>
            </w:pPr>
          </w:p>
          <w:p w:rsidR="00D059DB" w:rsidRPr="00152152" w:rsidRDefault="00152152" w:rsidP="00086F6D">
            <w:pPr>
              <w:jc w:val="center"/>
              <w:rPr>
                <w:sz w:val="20"/>
                <w:szCs w:val="20"/>
                <w:lang w:val="en-US"/>
              </w:rPr>
            </w:pPr>
            <w:r w:rsidRPr="00152152">
              <w:rPr>
                <w:sz w:val="20"/>
                <w:szCs w:val="20"/>
                <w:lang w:val="en-US"/>
              </w:rPr>
              <w:t xml:space="preserve">Sustaining long-term relationships, relationship choices, ending relationships safely, consequences of relationships ending e.g. bullying, revenge porn, </w:t>
            </w:r>
            <w:proofErr w:type="gramStart"/>
            <w:r w:rsidRPr="00152152">
              <w:rPr>
                <w:sz w:val="20"/>
                <w:szCs w:val="20"/>
                <w:lang w:val="en-US"/>
              </w:rPr>
              <w:t>grief</w:t>
            </w:r>
            <w:proofErr w:type="gramEnd"/>
            <w:r w:rsidRPr="00152152">
              <w:rPr>
                <w:sz w:val="20"/>
                <w:szCs w:val="20"/>
                <w:lang w:val="en-US"/>
              </w:rPr>
              <w:t xml:space="preserve">-cycle. Divorce and separation, impact of family breakup on children, understanding love, fake news and </w:t>
            </w:r>
            <w:proofErr w:type="spellStart"/>
            <w:r w:rsidRPr="00152152">
              <w:rPr>
                <w:sz w:val="20"/>
                <w:szCs w:val="20"/>
                <w:lang w:val="en-US"/>
              </w:rPr>
              <w:t>rumour</w:t>
            </w:r>
            <w:proofErr w:type="spellEnd"/>
            <w:r w:rsidRPr="00152152">
              <w:rPr>
                <w:sz w:val="20"/>
                <w:szCs w:val="20"/>
                <w:lang w:val="en-US"/>
              </w:rPr>
              <w:t xml:space="preserve"> mongering, abuse in teenage relationships. Legislation, support and advice</w:t>
            </w:r>
          </w:p>
        </w:tc>
        <w:tc>
          <w:tcPr>
            <w:tcW w:w="2694" w:type="dxa"/>
            <w:shd w:val="clear" w:color="auto" w:fill="FF5050"/>
          </w:tcPr>
          <w:p w:rsidR="00152152" w:rsidRDefault="00152152" w:rsidP="00086F6D">
            <w:pPr>
              <w:jc w:val="center"/>
              <w:rPr>
                <w:sz w:val="20"/>
                <w:szCs w:val="20"/>
                <w:lang w:val="en-US"/>
              </w:rPr>
            </w:pPr>
          </w:p>
          <w:p w:rsidR="00D059DB" w:rsidRPr="00152152" w:rsidRDefault="00152152" w:rsidP="00086F6D">
            <w:pPr>
              <w:jc w:val="center"/>
              <w:rPr>
                <w:sz w:val="20"/>
                <w:szCs w:val="20"/>
                <w:lang w:val="en-US"/>
              </w:rPr>
            </w:pPr>
            <w:r w:rsidRPr="00152152">
              <w:rPr>
                <w:sz w:val="20"/>
                <w:szCs w:val="20"/>
                <w:lang w:val="en-US"/>
              </w:rPr>
              <w:t>Impact of societal change on young people, role of media on societal change, reflection on change so far and how to manage it successfully, decision making, sexual identity gender, spectrum of sexuality, stereotypes in romantic relationships, sexual identity and risk, family change, sources of support</w:t>
            </w:r>
          </w:p>
        </w:tc>
        <w:tc>
          <w:tcPr>
            <w:tcW w:w="2585" w:type="dxa"/>
            <w:shd w:val="clear" w:color="auto" w:fill="FF6699"/>
          </w:tcPr>
          <w:p w:rsidR="00152152" w:rsidRDefault="00152152" w:rsidP="00086F6D">
            <w:pPr>
              <w:jc w:val="center"/>
              <w:rPr>
                <w:sz w:val="20"/>
                <w:szCs w:val="20"/>
                <w:lang w:val="en-US"/>
              </w:rPr>
            </w:pPr>
          </w:p>
          <w:p w:rsidR="00D059DB" w:rsidRPr="00152152" w:rsidRDefault="00152152" w:rsidP="00086F6D">
            <w:pPr>
              <w:jc w:val="center"/>
              <w:rPr>
                <w:sz w:val="20"/>
                <w:szCs w:val="20"/>
                <w:lang w:val="en-US"/>
              </w:rPr>
            </w:pPr>
            <w:r w:rsidRPr="00152152">
              <w:rPr>
                <w:sz w:val="20"/>
                <w:szCs w:val="20"/>
                <w:lang w:val="en-US"/>
              </w:rPr>
              <w:t>Equality including in the workplace, in society, in relationships. Equality and vulnerable groups. Power and control</w:t>
            </w:r>
          </w:p>
        </w:tc>
        <w:tc>
          <w:tcPr>
            <w:tcW w:w="2518" w:type="dxa"/>
            <w:shd w:val="clear" w:color="auto" w:fill="FF9933"/>
          </w:tcPr>
          <w:p w:rsidR="00152152" w:rsidRDefault="00152152" w:rsidP="00086F6D">
            <w:pPr>
              <w:jc w:val="center"/>
              <w:rPr>
                <w:sz w:val="20"/>
                <w:szCs w:val="20"/>
                <w:lang w:val="en-US"/>
              </w:rPr>
            </w:pPr>
          </w:p>
          <w:p w:rsidR="00D059DB" w:rsidRPr="00152152" w:rsidRDefault="00152152" w:rsidP="00086F6D">
            <w:pPr>
              <w:jc w:val="center"/>
              <w:rPr>
                <w:sz w:val="20"/>
                <w:szCs w:val="20"/>
                <w:lang w:val="en-US"/>
              </w:rPr>
            </w:pPr>
            <w:r w:rsidRPr="00152152">
              <w:rPr>
                <w:sz w:val="20"/>
                <w:szCs w:val="20"/>
                <w:lang w:val="en-US"/>
              </w:rPr>
              <w:t>Human rights, societal freedom, understanding safety in UK and beyond, ending relationships safely, stages of grief, loss and bereavement, social media and culture, use of online data, threats to online safety, online identity, assessing and managing risk</w:t>
            </w:r>
          </w:p>
        </w:tc>
      </w:tr>
      <w:tr w:rsidR="00152152" w:rsidRPr="00152152" w:rsidTr="00152152">
        <w:tc>
          <w:tcPr>
            <w:tcW w:w="615" w:type="dxa"/>
          </w:tcPr>
          <w:p w:rsidR="00D059DB" w:rsidRPr="00152152" w:rsidRDefault="00D059DB" w:rsidP="00086F6D">
            <w:pPr>
              <w:jc w:val="center"/>
              <w:rPr>
                <w:sz w:val="20"/>
                <w:szCs w:val="20"/>
                <w:lang w:val="en-US"/>
              </w:rPr>
            </w:pPr>
            <w:r w:rsidRPr="00152152">
              <w:rPr>
                <w:sz w:val="20"/>
                <w:szCs w:val="20"/>
                <w:lang w:val="en-US"/>
              </w:rPr>
              <w:t>Year 11</w:t>
            </w:r>
          </w:p>
        </w:tc>
        <w:tc>
          <w:tcPr>
            <w:tcW w:w="2505" w:type="dxa"/>
            <w:shd w:val="clear" w:color="auto" w:fill="CC66FF"/>
          </w:tcPr>
          <w:p w:rsidR="00152152" w:rsidRDefault="00152152" w:rsidP="00086F6D">
            <w:pPr>
              <w:jc w:val="center"/>
              <w:rPr>
                <w:sz w:val="20"/>
                <w:szCs w:val="20"/>
                <w:lang w:val="en-US"/>
              </w:rPr>
            </w:pPr>
          </w:p>
          <w:p w:rsidR="00D059DB" w:rsidRPr="00152152" w:rsidRDefault="00D059DB" w:rsidP="00086F6D">
            <w:pPr>
              <w:jc w:val="center"/>
              <w:rPr>
                <w:sz w:val="20"/>
                <w:szCs w:val="20"/>
                <w:lang w:val="en-US"/>
              </w:rPr>
            </w:pPr>
            <w:r w:rsidRPr="00152152">
              <w:rPr>
                <w:sz w:val="20"/>
                <w:szCs w:val="20"/>
                <w:lang w:val="en-US"/>
              </w:rPr>
              <w:t>Aspiration on; career, finances, relationships, health. Skills identification, realistic goals, gambling, financial pressure, debt, dream jobs, skill set, education and training options, long</w:t>
            </w:r>
            <w:r w:rsidR="00152152">
              <w:rPr>
                <w:sz w:val="20"/>
                <w:szCs w:val="20"/>
                <w:lang w:val="en-US"/>
              </w:rPr>
              <w:t xml:space="preserve"> </w:t>
            </w:r>
            <w:bookmarkStart w:id="0" w:name="_GoBack"/>
            <w:bookmarkEnd w:id="0"/>
            <w:r w:rsidRPr="00152152">
              <w:rPr>
                <w:sz w:val="20"/>
                <w:szCs w:val="20"/>
                <w:lang w:val="en-US"/>
              </w:rPr>
              <w:t>term relationship dreams and goals, parenting skills and challenges, resilience, what to do when things go wrong.</w:t>
            </w:r>
          </w:p>
        </w:tc>
        <w:tc>
          <w:tcPr>
            <w:tcW w:w="2551" w:type="dxa"/>
            <w:shd w:val="clear" w:color="auto" w:fill="AEAAAA" w:themeFill="background2" w:themeFillShade="BF"/>
          </w:tcPr>
          <w:p w:rsidR="00D059DB" w:rsidRPr="00152152" w:rsidRDefault="00D059DB" w:rsidP="00086F6D">
            <w:pPr>
              <w:jc w:val="center"/>
              <w:rPr>
                <w:sz w:val="20"/>
                <w:szCs w:val="20"/>
                <w:lang w:val="en-US"/>
              </w:rPr>
            </w:pPr>
          </w:p>
          <w:p w:rsidR="00D059DB" w:rsidRPr="00152152" w:rsidRDefault="00D059DB" w:rsidP="00086F6D">
            <w:pPr>
              <w:jc w:val="center"/>
              <w:rPr>
                <w:sz w:val="20"/>
                <w:szCs w:val="20"/>
                <w:lang w:val="en-US"/>
              </w:rPr>
            </w:pPr>
            <w:r w:rsidRPr="00152152">
              <w:rPr>
                <w:sz w:val="20"/>
                <w:szCs w:val="20"/>
                <w:lang w:val="en-US"/>
              </w:rPr>
              <w:t xml:space="preserve">Mock exams and exam </w:t>
            </w:r>
            <w:r w:rsidR="00152152" w:rsidRPr="00152152">
              <w:rPr>
                <w:sz w:val="20"/>
                <w:szCs w:val="20"/>
                <w:lang w:val="en-US"/>
              </w:rPr>
              <w:t>preparation</w:t>
            </w:r>
          </w:p>
        </w:tc>
        <w:tc>
          <w:tcPr>
            <w:tcW w:w="2693" w:type="dxa"/>
            <w:shd w:val="clear" w:color="auto" w:fill="BDD6EE" w:themeFill="accent1" w:themeFillTint="66"/>
          </w:tcPr>
          <w:p w:rsidR="00152152" w:rsidRDefault="00152152" w:rsidP="00086F6D">
            <w:pPr>
              <w:jc w:val="center"/>
              <w:rPr>
                <w:sz w:val="20"/>
                <w:szCs w:val="20"/>
                <w:lang w:val="en-US"/>
              </w:rPr>
            </w:pPr>
          </w:p>
          <w:p w:rsidR="00D059DB" w:rsidRPr="00152152" w:rsidRDefault="00152152" w:rsidP="00086F6D">
            <w:pPr>
              <w:jc w:val="center"/>
              <w:rPr>
                <w:sz w:val="20"/>
                <w:szCs w:val="20"/>
                <w:lang w:val="en-US"/>
              </w:rPr>
            </w:pPr>
            <w:r w:rsidRPr="00152152">
              <w:rPr>
                <w:sz w:val="20"/>
                <w:szCs w:val="20"/>
                <w:lang w:val="en-US"/>
              </w:rPr>
              <w:t xml:space="preserve">Managing anxiety and stress, exam pressure, concentration strategies, work- life balance, sexual health, hygiene, </w:t>
            </w:r>
            <w:proofErr w:type="spellStart"/>
            <w:r w:rsidRPr="00152152">
              <w:rPr>
                <w:sz w:val="20"/>
                <w:szCs w:val="20"/>
                <w:lang w:val="en-US"/>
              </w:rPr>
              <w:t>self</w:t>
            </w:r>
            <w:r>
              <w:rPr>
                <w:sz w:val="20"/>
                <w:szCs w:val="20"/>
                <w:lang w:val="en-US"/>
              </w:rPr>
              <w:t xml:space="preserve"> </w:t>
            </w:r>
            <w:r w:rsidRPr="00152152">
              <w:rPr>
                <w:sz w:val="20"/>
                <w:szCs w:val="20"/>
                <w:lang w:val="en-US"/>
              </w:rPr>
              <w:t>examination</w:t>
            </w:r>
            <w:proofErr w:type="spellEnd"/>
            <w:r w:rsidRPr="00152152">
              <w:rPr>
                <w:sz w:val="20"/>
                <w:szCs w:val="20"/>
                <w:lang w:val="en-US"/>
              </w:rPr>
              <w:t>, STIs, sexual pressure, fertility, contraception, pregnancy facts and myths, identifying a range of health risks and strategies for staying safe</w:t>
            </w:r>
          </w:p>
        </w:tc>
        <w:tc>
          <w:tcPr>
            <w:tcW w:w="2694" w:type="dxa"/>
            <w:shd w:val="clear" w:color="auto" w:fill="C5E0B3" w:themeFill="accent6" w:themeFillTint="66"/>
          </w:tcPr>
          <w:p w:rsidR="00152152" w:rsidRDefault="00152152" w:rsidP="00086F6D">
            <w:pPr>
              <w:jc w:val="center"/>
              <w:rPr>
                <w:sz w:val="20"/>
                <w:szCs w:val="20"/>
                <w:lang w:val="en-US"/>
              </w:rPr>
            </w:pPr>
          </w:p>
          <w:p w:rsidR="00D059DB" w:rsidRDefault="00152152" w:rsidP="00086F6D">
            <w:pPr>
              <w:jc w:val="center"/>
              <w:rPr>
                <w:sz w:val="20"/>
                <w:szCs w:val="20"/>
                <w:lang w:val="en-US"/>
              </w:rPr>
            </w:pPr>
            <w:r w:rsidRPr="00152152">
              <w:rPr>
                <w:sz w:val="20"/>
                <w:szCs w:val="20"/>
                <w:lang w:val="en-US"/>
              </w:rPr>
              <w:t xml:space="preserve">Stages of intimate relationships, positive and negative connotations of sex, protecting sexual and reproductive health, safely ending relationships, spectrum of gender and sexuality, LGBT+ rights and protection under the Equality Act, “coming out” challenges, LGBT+ media stereotypes, power, control and sexual experimentation, forced marriage, </w:t>
            </w:r>
            <w:proofErr w:type="spellStart"/>
            <w:r w:rsidRPr="00152152">
              <w:rPr>
                <w:sz w:val="20"/>
                <w:szCs w:val="20"/>
                <w:lang w:val="en-US"/>
              </w:rPr>
              <w:t>honour</w:t>
            </w:r>
            <w:proofErr w:type="spellEnd"/>
            <w:r w:rsidRPr="00152152">
              <w:rPr>
                <w:sz w:val="20"/>
                <w:szCs w:val="20"/>
                <w:lang w:val="en-US"/>
              </w:rPr>
              <w:t>-based violence, FGM and other abuses, hate crime, sources of support</w:t>
            </w:r>
          </w:p>
          <w:p w:rsidR="00152152" w:rsidRPr="00152152" w:rsidRDefault="00152152" w:rsidP="00086F6D">
            <w:pPr>
              <w:jc w:val="center"/>
              <w:rPr>
                <w:sz w:val="20"/>
                <w:szCs w:val="20"/>
                <w:lang w:val="en-US"/>
              </w:rPr>
            </w:pPr>
          </w:p>
        </w:tc>
        <w:tc>
          <w:tcPr>
            <w:tcW w:w="2585" w:type="dxa"/>
            <w:shd w:val="clear" w:color="auto" w:fill="FF9933"/>
          </w:tcPr>
          <w:p w:rsidR="00152152" w:rsidRDefault="00152152" w:rsidP="00086F6D">
            <w:pPr>
              <w:jc w:val="center"/>
              <w:rPr>
                <w:sz w:val="20"/>
                <w:szCs w:val="20"/>
                <w:lang w:val="en-US"/>
              </w:rPr>
            </w:pPr>
          </w:p>
          <w:p w:rsidR="00D059DB" w:rsidRPr="00152152" w:rsidRDefault="00152152" w:rsidP="00086F6D">
            <w:pPr>
              <w:jc w:val="center"/>
              <w:rPr>
                <w:sz w:val="20"/>
                <w:szCs w:val="20"/>
                <w:lang w:val="en-US"/>
              </w:rPr>
            </w:pPr>
            <w:r w:rsidRPr="00152152">
              <w:rPr>
                <w:sz w:val="20"/>
                <w:szCs w:val="20"/>
                <w:lang w:val="en-US"/>
              </w:rPr>
              <w:t>Equality in relation to disability including hidden, consequences of not adhering to Equality Act, employers’ responsibilities, benefits of multicultural societies, impact of unfair treatment on mental health, misuse of power, campaigning for equality</w:t>
            </w:r>
          </w:p>
        </w:tc>
        <w:tc>
          <w:tcPr>
            <w:tcW w:w="2518" w:type="dxa"/>
            <w:shd w:val="clear" w:color="auto" w:fill="BFBFBF" w:themeFill="background1" w:themeFillShade="BF"/>
          </w:tcPr>
          <w:p w:rsidR="00152152" w:rsidRPr="00152152" w:rsidRDefault="00152152" w:rsidP="00086F6D">
            <w:pPr>
              <w:jc w:val="center"/>
              <w:rPr>
                <w:sz w:val="20"/>
                <w:szCs w:val="20"/>
                <w:lang w:val="en-US"/>
              </w:rPr>
            </w:pPr>
          </w:p>
          <w:p w:rsidR="00D059DB" w:rsidRPr="00152152" w:rsidRDefault="00152152" w:rsidP="00086F6D">
            <w:pPr>
              <w:jc w:val="center"/>
              <w:rPr>
                <w:sz w:val="20"/>
                <w:szCs w:val="20"/>
                <w:lang w:val="en-US"/>
              </w:rPr>
            </w:pPr>
            <w:r w:rsidRPr="00152152">
              <w:rPr>
                <w:sz w:val="20"/>
                <w:szCs w:val="20"/>
                <w:lang w:val="en-US"/>
              </w:rPr>
              <w:t>E</w:t>
            </w:r>
            <w:r w:rsidRPr="00152152">
              <w:rPr>
                <w:sz w:val="20"/>
                <w:szCs w:val="20"/>
                <w:lang w:val="en-US"/>
              </w:rPr>
              <w:t>xam preparation</w:t>
            </w:r>
          </w:p>
        </w:tc>
      </w:tr>
    </w:tbl>
    <w:p w:rsidR="00D059DB" w:rsidRPr="00086F6D" w:rsidRDefault="00D059DB" w:rsidP="00086F6D">
      <w:pPr>
        <w:jc w:val="center"/>
        <w:rPr>
          <w:lang w:val="en-US"/>
        </w:rPr>
      </w:pPr>
    </w:p>
    <w:sectPr w:rsidR="00D059DB" w:rsidRPr="00086F6D" w:rsidSect="00086F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6D"/>
    <w:rsid w:val="00086F6D"/>
    <w:rsid w:val="00152152"/>
    <w:rsid w:val="002B4C66"/>
    <w:rsid w:val="00D059DB"/>
    <w:rsid w:val="00D9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EB65"/>
  <w15:chartTrackingRefBased/>
  <w15:docId w15:val="{B0B6DFBA-5105-44A8-9ADB-A5009300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Owen</dc:creator>
  <cp:keywords/>
  <dc:description/>
  <cp:lastModifiedBy>Rae Owen</cp:lastModifiedBy>
  <cp:revision>1</cp:revision>
  <dcterms:created xsi:type="dcterms:W3CDTF">2020-08-26T14:34:00Z</dcterms:created>
  <dcterms:modified xsi:type="dcterms:W3CDTF">2020-08-26T15:12:00Z</dcterms:modified>
</cp:coreProperties>
</file>