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45" w:rsidRPr="00E15A99" w:rsidRDefault="00E45645" w:rsidP="00E15A99">
      <w:pPr>
        <w:pStyle w:val="Heading1"/>
        <w:rPr>
          <w:sz w:val="32"/>
          <w:szCs w:val="32"/>
        </w:rPr>
      </w:pPr>
      <w:bookmarkStart w:id="0" w:name="_Toc400361362"/>
      <w:bookmarkStart w:id="1" w:name="_Toc443397153"/>
      <w:bookmarkStart w:id="2" w:name="_Toc357771638"/>
      <w:bookmarkStart w:id="3" w:name="_Toc346793416"/>
      <w:bookmarkStart w:id="4" w:name="_Toc328122777"/>
      <w:r w:rsidRPr="00E45645">
        <w:rPr>
          <w:sz w:val="32"/>
          <w:szCs w:val="32"/>
        </w:rPr>
        <w:t xml:space="preserve">Tiverton High School </w:t>
      </w:r>
      <w:r w:rsidR="009D71E8" w:rsidRPr="00E45645">
        <w:rPr>
          <w:sz w:val="32"/>
          <w:szCs w:val="32"/>
        </w:rPr>
        <w:t xml:space="preserve">Pupil </w:t>
      </w:r>
      <w:r w:rsidR="00177F0B">
        <w:rPr>
          <w:sz w:val="32"/>
          <w:szCs w:val="32"/>
        </w:rPr>
        <w:t>P</w:t>
      </w:r>
      <w:r w:rsidR="009D71E8" w:rsidRPr="00E45645">
        <w:rPr>
          <w:sz w:val="32"/>
          <w:szCs w:val="32"/>
        </w:rPr>
        <w:t>remium strategy</w:t>
      </w:r>
      <w:r>
        <w:rPr>
          <w:sz w:val="32"/>
          <w:szCs w:val="32"/>
        </w:rPr>
        <w:t xml:space="preserve"> </w:t>
      </w:r>
      <w:r w:rsidR="009D71E8" w:rsidRPr="00E45645">
        <w:rPr>
          <w:sz w:val="32"/>
          <w:szCs w:val="32"/>
        </w:rPr>
        <w:t>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sz w:val="32"/>
          <w:szCs w:val="32"/>
        </w:rPr>
        <w:t xml:space="preserve"> 2021/22</w:t>
      </w:r>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w:t>
      </w:r>
      <w:r w:rsidR="00533806">
        <w:rPr>
          <w:b w:val="0"/>
          <w:bCs/>
          <w:color w:val="auto"/>
          <w:sz w:val="24"/>
          <w:szCs w:val="24"/>
        </w:rPr>
        <w:t>students</w:t>
      </w:r>
      <w:r>
        <w:rPr>
          <w:b w:val="0"/>
          <w:bCs/>
          <w:color w:val="auto"/>
          <w:sz w:val="24"/>
          <w:szCs w:val="24"/>
        </w:rPr>
        <w:t xml:space="preserve">.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2EF0">
            <w:pPr>
              <w:pStyle w:val="TableRow"/>
            </w:pPr>
            <w:r>
              <w:t>Tiverton High School</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w:t>
            </w:r>
            <w:r w:rsidR="00533806">
              <w:t>students</w:t>
            </w:r>
            <w:r>
              <w:t xml:space="preserve">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F1C3E">
            <w:pPr>
              <w:pStyle w:val="TableRow"/>
            </w:pPr>
            <w:r>
              <w:t>1230</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Proportion (%) of pupil premium eligible </w:t>
            </w:r>
            <w:r w:rsidR="00533806">
              <w:t>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F1C3E">
            <w:pPr>
              <w:pStyle w:val="TableRow"/>
            </w:pPr>
            <w:r>
              <w:t>27%</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F1C3E">
            <w:pPr>
              <w:pStyle w:val="TableRow"/>
            </w:pPr>
            <w:r>
              <w:t>2021/22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F1C3E">
            <w:pPr>
              <w:pStyle w:val="TableRow"/>
            </w:pPr>
            <w:r>
              <w:t>December 9</w:t>
            </w:r>
            <w:r w:rsidRPr="006F1C3E">
              <w:rPr>
                <w:vertAlign w:val="superscript"/>
              </w:rPr>
              <w:t>th</w:t>
            </w:r>
            <w:r>
              <w:t xml:space="preserve"> 2021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211FD">
            <w:pPr>
              <w:pStyle w:val="TableRow"/>
            </w:pPr>
            <w:r>
              <w:t>January 9</w:t>
            </w:r>
            <w:r w:rsidRPr="003211FD">
              <w:rPr>
                <w:vertAlign w:val="superscript"/>
              </w:rPr>
              <w:t>th</w:t>
            </w:r>
            <w:r>
              <w:t xml:space="preserve"> 2023</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26ABA">
            <w:pPr>
              <w:pStyle w:val="TableRow"/>
            </w:pPr>
            <w:r>
              <w:t>Samantha Crook</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211FD">
            <w:pPr>
              <w:pStyle w:val="TableRow"/>
            </w:pPr>
            <w:r>
              <w:t>Julie Scotting</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211FD">
            <w:pPr>
              <w:pStyle w:val="TableRow"/>
            </w:pPr>
            <w:r>
              <w:t>Flora Wood</w:t>
            </w:r>
          </w:p>
        </w:tc>
      </w:tr>
    </w:tbl>
    <w:p w:rsidR="00E66558" w:rsidRDefault="009D71E8">
      <w:pPr>
        <w:spacing w:before="480" w:line="240" w:lineRule="auto"/>
        <w:rPr>
          <w:b/>
          <w:color w:val="104F75"/>
          <w:sz w:val="32"/>
          <w:szCs w:val="32"/>
        </w:rPr>
      </w:pPr>
      <w:bookmarkStart w:id="14" w:name="_Hlk89261912"/>
      <w:bookmarkEnd w:id="2"/>
      <w:bookmarkEnd w:id="3"/>
      <w:bookmarkEnd w:id="4"/>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B70D5">
              <w:t>317,825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B70D5">
              <w:t>45,675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B70D5">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8B70D5">
              <w:t>363,500</w:t>
            </w:r>
          </w:p>
        </w:tc>
      </w:tr>
    </w:tbl>
    <w:bookmarkEnd w:id="14"/>
    <w:p w:rsidR="00E66558" w:rsidRDefault="009D71E8">
      <w:pPr>
        <w:pStyle w:val="Heading1"/>
      </w:pPr>
      <w:r>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806" w:rsidRPr="00A50F03" w:rsidRDefault="00533806" w:rsidP="00533806">
            <w:pPr>
              <w:spacing w:before="120"/>
              <w:rPr>
                <w:rFonts w:cs="Arial"/>
                <w:iCs/>
                <w:color w:val="auto"/>
              </w:rPr>
            </w:pPr>
            <w:r w:rsidRPr="00A50F03">
              <w:rPr>
                <w:rFonts w:cs="Arial"/>
                <w:iCs/>
                <w:color w:val="auto"/>
              </w:rPr>
              <w:t xml:space="preserve">Our intention is that all </w:t>
            </w:r>
            <w:r>
              <w:rPr>
                <w:rFonts w:cs="Arial"/>
                <w:iCs/>
                <w:color w:val="auto"/>
              </w:rPr>
              <w:t>student</w:t>
            </w:r>
            <w:r w:rsidRPr="00A50F03">
              <w:rPr>
                <w:rFonts w:cs="Arial"/>
                <w:iCs/>
                <w:color w:val="auto"/>
              </w:rPr>
              <w:t xml:space="preserve">s, irrespective of their background or the challenges they face, make good progress and achieve high attainment across the curriculum, particularly in EBacc subjects.  </w:t>
            </w:r>
          </w:p>
          <w:p w:rsidR="00533806" w:rsidRPr="00A50F03" w:rsidRDefault="00533806" w:rsidP="00533806">
            <w:pPr>
              <w:rPr>
                <w:rFonts w:cs="Arial"/>
                <w:iCs/>
                <w:color w:val="auto"/>
                <w:lang w:val="en-US"/>
              </w:rPr>
            </w:pPr>
            <w:r w:rsidRPr="00A50F03">
              <w:rPr>
                <w:rFonts w:cs="Arial"/>
                <w:iCs/>
                <w:color w:val="auto"/>
                <w:lang w:val="en-US"/>
              </w:rPr>
              <w:t xml:space="preserve">The focus of our pupil premium strategy is to support disadvantaged </w:t>
            </w:r>
            <w:r>
              <w:rPr>
                <w:rFonts w:cs="Arial"/>
                <w:iCs/>
                <w:color w:val="auto"/>
                <w:lang w:val="en-US"/>
              </w:rPr>
              <w:t>students</w:t>
            </w:r>
            <w:r w:rsidRPr="00A50F03">
              <w:rPr>
                <w:rFonts w:cs="Arial"/>
                <w:iCs/>
                <w:color w:val="auto"/>
                <w:lang w:val="en-US"/>
              </w:rPr>
              <w:t xml:space="preserve"> to achieve that goal, including progress for those who are already high attainers. We will consider the challenges faced by vulnerable </w:t>
            </w:r>
            <w:r>
              <w:rPr>
                <w:rFonts w:cs="Arial"/>
                <w:iCs/>
                <w:color w:val="auto"/>
                <w:lang w:val="en-US"/>
              </w:rPr>
              <w:t>students</w:t>
            </w:r>
            <w:r w:rsidRPr="00A50F03">
              <w:rPr>
                <w:rFonts w:cs="Arial"/>
                <w:iCs/>
                <w:color w:val="auto"/>
                <w:lang w:val="en-US"/>
              </w:rPr>
              <w:t xml:space="preserve">, such as those who have a social worker and young </w:t>
            </w:r>
            <w:proofErr w:type="spellStart"/>
            <w:r w:rsidRPr="00A50F03">
              <w:rPr>
                <w:rFonts w:cs="Arial"/>
                <w:iCs/>
                <w:color w:val="auto"/>
                <w:lang w:val="en-US"/>
              </w:rPr>
              <w:t>carers</w:t>
            </w:r>
            <w:proofErr w:type="spellEnd"/>
            <w:r w:rsidRPr="00A50F03">
              <w:rPr>
                <w:rFonts w:cs="Arial"/>
                <w:iCs/>
                <w:color w:val="auto"/>
                <w:lang w:val="en-US"/>
              </w:rPr>
              <w:t>. The activity we have outlined in this statement is also intended to support their needs, regardless of whether they are disadvantaged or not.</w:t>
            </w:r>
          </w:p>
          <w:p w:rsidR="00533806" w:rsidRPr="00A50F03" w:rsidRDefault="00533806" w:rsidP="00533806">
            <w:pPr>
              <w:rPr>
                <w:iCs/>
                <w:color w:val="auto"/>
                <w:lang w:val="en-US"/>
              </w:rPr>
            </w:pPr>
            <w:r w:rsidRPr="00A50F03">
              <w:rPr>
                <w:rFonts w:cs="Arial"/>
                <w:iCs/>
                <w:color w:val="auto"/>
                <w:lang w:val="en-US"/>
              </w:rPr>
              <w:t xml:space="preserve">High-quality teaching is at the heart of our approach, with a focus on areas in which disadvantaged </w:t>
            </w:r>
            <w:r>
              <w:rPr>
                <w:rFonts w:cs="Arial"/>
                <w:iCs/>
                <w:color w:val="auto"/>
                <w:lang w:val="en-US"/>
              </w:rPr>
              <w:t>students</w:t>
            </w:r>
            <w:r w:rsidRPr="00A50F03">
              <w:rPr>
                <w:rFonts w:cs="Arial"/>
                <w:iCs/>
                <w:color w:val="auto"/>
                <w:lang w:val="en-US"/>
              </w:rPr>
              <w:t xml:space="preserve"> require the most support. This is proven to have the greatest impact on closing the disadvantage attainment gap and at the same time will benefit the non-disadvantaged </w:t>
            </w:r>
            <w:r>
              <w:rPr>
                <w:rFonts w:cs="Arial"/>
                <w:iCs/>
                <w:color w:val="auto"/>
                <w:lang w:val="en-US"/>
              </w:rPr>
              <w:t>students</w:t>
            </w:r>
            <w:r w:rsidRPr="00A50F03">
              <w:rPr>
                <w:rFonts w:cs="Arial"/>
                <w:iCs/>
                <w:color w:val="auto"/>
                <w:lang w:val="en-US"/>
              </w:rPr>
              <w:t xml:space="preserve"> in our school. </w:t>
            </w:r>
            <w:r w:rsidRPr="00A50F03">
              <w:rPr>
                <w:iCs/>
                <w:color w:val="auto"/>
                <w:lang w:val="en-US"/>
              </w:rPr>
              <w:t xml:space="preserve">Implicit in the intended outcomes detailed below, is the intention that non-disadvantaged </w:t>
            </w:r>
            <w:r>
              <w:rPr>
                <w:iCs/>
                <w:color w:val="auto"/>
                <w:lang w:val="en-US"/>
              </w:rPr>
              <w:t>students</w:t>
            </w:r>
            <w:r w:rsidRPr="00A50F03">
              <w:rPr>
                <w:iCs/>
                <w:color w:val="auto"/>
                <w:lang w:val="en-US"/>
              </w:rPr>
              <w:t>’ attainment will be sustained and improved alongside progress for their disadvantaged peers.</w:t>
            </w:r>
          </w:p>
          <w:p w:rsidR="00533806" w:rsidRPr="00A50F03" w:rsidRDefault="00533806" w:rsidP="00533806">
            <w:pPr>
              <w:rPr>
                <w:rFonts w:cs="Arial"/>
                <w:color w:val="auto"/>
              </w:rPr>
            </w:pPr>
            <w:r w:rsidRPr="00A50F03">
              <w:rPr>
                <w:rFonts w:cs="Arial"/>
                <w:color w:val="auto"/>
              </w:rPr>
              <w:t xml:space="preserve">Our strategy is also integral to wider school plans for education recovery, notably in its targeted support through </w:t>
            </w:r>
            <w:r>
              <w:rPr>
                <w:rFonts w:cs="Arial"/>
                <w:color w:val="auto"/>
              </w:rPr>
              <w:t xml:space="preserve">our </w:t>
            </w:r>
            <w:r w:rsidRPr="00926ABA">
              <w:rPr>
                <w:rFonts w:cs="Arial"/>
                <w:color w:val="auto"/>
              </w:rPr>
              <w:t>literacy and numeracy intervention</w:t>
            </w:r>
            <w:r w:rsidR="00926ABA">
              <w:rPr>
                <w:rFonts w:cs="Arial"/>
                <w:color w:val="auto"/>
              </w:rPr>
              <w:t xml:space="preserve">s, </w:t>
            </w:r>
            <w:r w:rsidRPr="00926ABA">
              <w:rPr>
                <w:rFonts w:cs="Arial"/>
                <w:color w:val="auto"/>
              </w:rPr>
              <w:t>Spotlight groups</w:t>
            </w:r>
            <w:r w:rsidR="00926ABA">
              <w:rPr>
                <w:rFonts w:cs="Arial"/>
                <w:color w:val="auto"/>
              </w:rPr>
              <w:t xml:space="preserve"> in each year and t</w:t>
            </w:r>
            <w:r w:rsidRPr="00926ABA">
              <w:rPr>
                <w:rFonts w:cs="Arial"/>
                <w:color w:val="auto"/>
              </w:rPr>
              <w:t xml:space="preserve">utor </w:t>
            </w:r>
            <w:r w:rsidR="00926ABA" w:rsidRPr="00926ABA">
              <w:rPr>
                <w:rFonts w:cs="Arial"/>
                <w:color w:val="auto"/>
              </w:rPr>
              <w:t>mentoring p</w:t>
            </w:r>
            <w:r w:rsidRPr="00926ABA">
              <w:rPr>
                <w:rFonts w:cs="Arial"/>
                <w:color w:val="auto"/>
              </w:rPr>
              <w:t>rogramme</w:t>
            </w:r>
            <w:r w:rsidRPr="00A50F03">
              <w:rPr>
                <w:rFonts w:cs="Arial"/>
                <w:color w:val="auto"/>
              </w:rPr>
              <w:t xml:space="preserve"> for </w:t>
            </w:r>
            <w:r>
              <w:rPr>
                <w:rFonts w:cs="Arial"/>
                <w:color w:val="auto"/>
              </w:rPr>
              <w:t>students</w:t>
            </w:r>
            <w:r w:rsidRPr="00A50F03">
              <w:rPr>
                <w:rFonts w:cs="Arial"/>
                <w:color w:val="auto"/>
              </w:rPr>
              <w:t xml:space="preserve"> whose education has been worst affected, including non-disadvantaged </w:t>
            </w:r>
            <w:r>
              <w:rPr>
                <w:rFonts w:cs="Arial"/>
                <w:color w:val="auto"/>
              </w:rPr>
              <w:t>students</w:t>
            </w:r>
            <w:r w:rsidRPr="00A50F03">
              <w:rPr>
                <w:rFonts w:cs="Arial"/>
                <w:color w:val="auto"/>
              </w:rPr>
              <w:t xml:space="preserve">.    </w:t>
            </w:r>
          </w:p>
          <w:p w:rsidR="00533806" w:rsidRPr="00A50F03" w:rsidRDefault="00533806" w:rsidP="00533806">
            <w:pPr>
              <w:spacing w:after="120"/>
              <w:rPr>
                <w:rFonts w:cs="Arial"/>
                <w:iCs/>
                <w:color w:val="auto"/>
                <w:lang w:val="en-US"/>
              </w:rPr>
            </w:pPr>
            <w:r w:rsidRPr="00A50F03">
              <w:rPr>
                <w:rFonts w:cs="Arial"/>
                <w:iCs/>
                <w:color w:val="auto"/>
                <w:lang w:val="en-US"/>
              </w:rPr>
              <w:t xml:space="preserve">Our approach will be responsive to common challenges and individual needs, rooted in robust diagnostic assessment, not assumptions about the impact of disadvantage. The approaches we have adopted complement each other to help </w:t>
            </w:r>
            <w:r>
              <w:rPr>
                <w:rFonts w:cs="Arial"/>
                <w:iCs/>
                <w:color w:val="auto"/>
                <w:lang w:val="en-US"/>
              </w:rPr>
              <w:t>students</w:t>
            </w:r>
            <w:r w:rsidRPr="00A50F03">
              <w:rPr>
                <w:rFonts w:cs="Arial"/>
                <w:iCs/>
                <w:color w:val="auto"/>
                <w:lang w:val="en-US"/>
              </w:rPr>
              <w:t xml:space="preserve"> excel. To ensure they are effective we will:</w:t>
            </w:r>
          </w:p>
          <w:p w:rsidR="00533806" w:rsidRPr="00A50F03" w:rsidRDefault="00533806" w:rsidP="00533806">
            <w:pPr>
              <w:numPr>
                <w:ilvl w:val="0"/>
                <w:numId w:val="14"/>
              </w:numPr>
              <w:suppressAutoHyphens w:val="0"/>
              <w:autoSpaceDN/>
              <w:contextualSpacing/>
              <w:rPr>
                <w:rFonts w:cs="Arial"/>
                <w:iCs/>
                <w:color w:val="auto"/>
                <w:lang w:val="en-US"/>
              </w:rPr>
            </w:pPr>
            <w:r w:rsidRPr="00A50F03">
              <w:rPr>
                <w:rFonts w:cs="Arial"/>
                <w:iCs/>
                <w:color w:val="auto"/>
                <w:lang w:val="en-US"/>
              </w:rPr>
              <w:t xml:space="preserve">ensure disadvantaged </w:t>
            </w:r>
            <w:r>
              <w:rPr>
                <w:rFonts w:cs="Arial"/>
                <w:iCs/>
                <w:color w:val="auto"/>
                <w:lang w:val="en-US"/>
              </w:rPr>
              <w:t>students</w:t>
            </w:r>
            <w:r w:rsidRPr="00A50F03">
              <w:rPr>
                <w:rFonts w:cs="Arial"/>
                <w:iCs/>
                <w:color w:val="auto"/>
                <w:lang w:val="en-US"/>
              </w:rPr>
              <w:t xml:space="preserve"> are challenged in the work that they’re set</w:t>
            </w:r>
          </w:p>
          <w:p w:rsidR="00533806" w:rsidRPr="00A50F03" w:rsidRDefault="00533806" w:rsidP="00533806">
            <w:pPr>
              <w:numPr>
                <w:ilvl w:val="0"/>
                <w:numId w:val="14"/>
              </w:numPr>
              <w:suppressAutoHyphens w:val="0"/>
              <w:autoSpaceDN/>
              <w:contextualSpacing/>
              <w:rPr>
                <w:rFonts w:cs="Arial"/>
                <w:iCs/>
                <w:color w:val="auto"/>
                <w:lang w:val="en-US"/>
              </w:rPr>
            </w:pPr>
            <w:r w:rsidRPr="00A50F03">
              <w:rPr>
                <w:rFonts w:cs="Arial"/>
                <w:color w:val="auto"/>
              </w:rPr>
              <w:t>act early to intervene at the point need is identified</w:t>
            </w:r>
          </w:p>
          <w:p w:rsidR="00533806" w:rsidRPr="00533806" w:rsidRDefault="00533806" w:rsidP="00533806">
            <w:pPr>
              <w:rPr>
                <w:i/>
                <w:iCs/>
              </w:rPr>
            </w:pPr>
            <w:r w:rsidRPr="00A50F03">
              <w:rPr>
                <w:rFonts w:cs="Arial"/>
                <w:color w:val="auto"/>
              </w:rPr>
              <w:t xml:space="preserve">adopt a whole school approach in which all staff take responsibility for disadvantaged </w:t>
            </w:r>
            <w:r>
              <w:rPr>
                <w:rFonts w:cs="Arial"/>
                <w:color w:val="auto"/>
              </w:rPr>
              <w:t>students</w:t>
            </w:r>
            <w:r w:rsidRPr="00A50F03">
              <w:rPr>
                <w:rFonts w:cs="Arial"/>
                <w:color w:val="auto"/>
              </w:rPr>
              <w:t>’ outcomes and raise expectations of what they can achieve</w:t>
            </w: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533806">
        <w:rPr>
          <w:color w:val="auto"/>
        </w:rPr>
        <w:t>students</w:t>
      </w:r>
      <w:r>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BA" w:rsidRPr="00926ABA" w:rsidRDefault="00B328A5" w:rsidP="00926ABA">
            <w:pPr>
              <w:suppressAutoHyphens w:val="0"/>
              <w:autoSpaceDN/>
              <w:spacing w:before="60" w:line="240" w:lineRule="auto"/>
              <w:ind w:left="57" w:right="57"/>
              <w:rPr>
                <w:color w:val="auto"/>
              </w:rPr>
            </w:pPr>
            <w:r w:rsidRPr="00A50F03">
              <w:rPr>
                <w:color w:val="auto"/>
              </w:rPr>
              <w:t>The</w:t>
            </w:r>
            <w:r w:rsidR="003B60E0">
              <w:rPr>
                <w:color w:val="auto"/>
              </w:rPr>
              <w:t xml:space="preserve"> Maths and </w:t>
            </w:r>
            <w:r w:rsidR="00576916" w:rsidRPr="003B60E0">
              <w:rPr>
                <w:color w:val="auto"/>
              </w:rPr>
              <w:t>English</w:t>
            </w:r>
            <w:r w:rsidR="00576916">
              <w:rPr>
                <w:color w:val="auto"/>
              </w:rPr>
              <w:t xml:space="preserve"> </w:t>
            </w:r>
            <w:r w:rsidRPr="00A50F03">
              <w:rPr>
                <w:color w:val="auto"/>
              </w:rPr>
              <w:t xml:space="preserve">attainment of disadvantaged </w:t>
            </w:r>
            <w:r w:rsidR="003268FA">
              <w:rPr>
                <w:color w:val="auto"/>
              </w:rPr>
              <w:t>students</w:t>
            </w:r>
            <w:r w:rsidRPr="00A50F03">
              <w:rPr>
                <w:color w:val="auto"/>
              </w:rPr>
              <w:t xml:space="preserve"> is generally lower than that of their peers and teacher diagnostic assessments suggest that many </w:t>
            </w:r>
            <w:r w:rsidR="003268FA">
              <w:rPr>
                <w:color w:val="auto"/>
              </w:rPr>
              <w:t>students</w:t>
            </w:r>
            <w:r w:rsidRPr="00A50F03">
              <w:rPr>
                <w:color w:val="auto"/>
              </w:rPr>
              <w:t xml:space="preserve"> particularly</w:t>
            </w:r>
            <w:r w:rsidR="00B33A61">
              <w:rPr>
                <w:color w:val="auto"/>
              </w:rPr>
              <w:t xml:space="preserve"> </w:t>
            </w:r>
            <w:r w:rsidR="009C5DCA">
              <w:rPr>
                <w:color w:val="auto"/>
              </w:rPr>
              <w:t>have</w:t>
            </w:r>
            <w:r w:rsidR="00B33A61">
              <w:rPr>
                <w:color w:val="auto"/>
              </w:rPr>
              <w:t xml:space="preserve"> </w:t>
            </w:r>
            <w:r w:rsidR="003B60E0">
              <w:rPr>
                <w:color w:val="auto"/>
              </w:rPr>
              <w:t xml:space="preserve">a </w:t>
            </w:r>
            <w:r w:rsidR="009C5DCA">
              <w:rPr>
                <w:color w:val="auto"/>
              </w:rPr>
              <w:t xml:space="preserve">less developed </w:t>
            </w:r>
            <w:r w:rsidR="003B60E0">
              <w:rPr>
                <w:color w:val="auto"/>
              </w:rPr>
              <w:t>vocabulary and</w:t>
            </w:r>
            <w:r w:rsidRPr="00A50F03">
              <w:rPr>
                <w:color w:val="auto"/>
              </w:rPr>
              <w:t xml:space="preserve"> struggle with problem solving tasks. </w:t>
            </w:r>
          </w:p>
          <w:p w:rsidR="00926ABA" w:rsidRDefault="00926ABA" w:rsidP="00926ABA">
            <w:pPr>
              <w:pStyle w:val="TableRowCentered"/>
              <w:jc w:val="left"/>
              <w:rPr>
                <w:color w:val="000000"/>
                <w:szCs w:val="24"/>
              </w:rPr>
            </w:pPr>
            <w:r>
              <w:rPr>
                <w:color w:val="000000"/>
                <w:szCs w:val="24"/>
              </w:rPr>
              <w:t>The average gap of students below expectation or reaching expectation in Y7 is 10%. If we you use 5+ as the expectation it increases by about 10% in both English and maths. If you use 4+ as the expectation, the figures show 10% gap in maths and 5% in English.</w:t>
            </w:r>
          </w:p>
          <w:tbl>
            <w:tblPr>
              <w:tblW w:w="6720" w:type="dxa"/>
              <w:tblCellMar>
                <w:left w:w="0" w:type="dxa"/>
                <w:right w:w="0" w:type="dxa"/>
              </w:tblCellMar>
              <w:tblLook w:val="04A0" w:firstRow="1" w:lastRow="0" w:firstColumn="1" w:lastColumn="0" w:noHBand="0" w:noVBand="1"/>
            </w:tblPr>
            <w:tblGrid>
              <w:gridCol w:w="1488"/>
              <w:gridCol w:w="554"/>
              <w:gridCol w:w="1325"/>
              <w:gridCol w:w="737"/>
              <w:gridCol w:w="554"/>
              <w:gridCol w:w="1325"/>
              <w:gridCol w:w="737"/>
            </w:tblGrid>
            <w:tr w:rsidR="00926ABA" w:rsidTr="00926ABA">
              <w:trPr>
                <w:trHeight w:val="300"/>
              </w:trPr>
              <w:tc>
                <w:tcPr>
                  <w:tcW w:w="6720" w:type="dxa"/>
                  <w:gridSpan w:val="7"/>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sz w:val="22"/>
                      <w:szCs w:val="22"/>
                    </w:rPr>
                  </w:pPr>
                  <w:r>
                    <w:rPr>
                      <w:color w:val="000000"/>
                    </w:rPr>
                    <w:t>% Below ARE in Y7</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 </w:t>
                  </w:r>
                </w:p>
              </w:tc>
              <w:tc>
                <w:tcPr>
                  <w:tcW w:w="0" w:type="auto"/>
                  <w:gridSpan w:val="3"/>
                  <w:tcBorders>
                    <w:top w:val="nil"/>
                    <w:left w:val="nil"/>
                    <w:bottom w:val="single" w:sz="8" w:space="0" w:color="auto"/>
                    <w:right w:val="single" w:sz="8" w:space="0" w:color="000000"/>
                  </w:tcBorders>
                  <w:tcMar>
                    <w:top w:w="15" w:type="dxa"/>
                    <w:left w:w="15" w:type="dxa"/>
                    <w:bottom w:w="15" w:type="dxa"/>
                    <w:right w:w="15" w:type="dxa"/>
                  </w:tcMar>
                  <w:vAlign w:val="center"/>
                  <w:hideMark/>
                </w:tcPr>
                <w:p w:rsidR="00926ABA" w:rsidRDefault="00926ABA" w:rsidP="00926ABA">
                  <w:pPr>
                    <w:jc w:val="center"/>
                    <w:rPr>
                      <w:color w:val="000000"/>
                    </w:rPr>
                  </w:pPr>
                  <w:proofErr w:type="spellStart"/>
                  <w:r>
                    <w:rPr>
                      <w:color w:val="000000"/>
                    </w:rPr>
                    <w:t>Eng</w:t>
                  </w:r>
                  <w:proofErr w:type="spellEnd"/>
                </w:p>
              </w:tc>
              <w:tc>
                <w:tcPr>
                  <w:tcW w:w="0" w:type="auto"/>
                  <w:gridSpan w:val="3"/>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Ma</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Gap</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rsidR="00926ABA" w:rsidRDefault="00926ABA" w:rsidP="00926ABA">
                  <w:pPr>
                    <w:jc w:val="center"/>
                    <w:rPr>
                      <w:color w:val="000000"/>
                    </w:rPr>
                  </w:pPr>
                  <w:r>
                    <w:rPr>
                      <w:color w:val="000000"/>
                    </w:rPr>
                    <w:t>Gap</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Y7</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26</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21</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21</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-4</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Y8</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28</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19</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-9</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32</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27</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-5</w:t>
                  </w:r>
                </w:p>
              </w:tc>
            </w:tr>
            <w:tr w:rsidR="00926ABA" w:rsidTr="00926ABA">
              <w:trPr>
                <w:trHeight w:val="315"/>
              </w:trPr>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Y9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45</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27</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-18</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39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19</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-20</w:t>
                  </w:r>
                </w:p>
              </w:tc>
            </w:tr>
            <w:tr w:rsidR="00926ABA" w:rsidTr="00926ABA">
              <w:trPr>
                <w:trHeight w:val="315"/>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Average</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33</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22</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-11</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32</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22</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-10</w:t>
                  </w:r>
                </w:p>
              </w:tc>
            </w:tr>
            <w:tr w:rsidR="00926ABA" w:rsidTr="00926ABA">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b/>
                      <w:bCs/>
                      <w:color w:val="9C0006"/>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rsidR="00926ABA" w:rsidRDefault="00926ABA" w:rsidP="00926ABA">
                  <w:pPr>
                    <w:rPr>
                      <w:rFonts w:ascii="Times New Roman" w:hAnsi="Times New Roman"/>
                      <w:sz w:val="20"/>
                      <w:szCs w:val="20"/>
                    </w:rPr>
                  </w:pPr>
                </w:p>
              </w:tc>
            </w:tr>
            <w:tr w:rsidR="00926ABA" w:rsidTr="00926ABA">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rsidR="00926ABA" w:rsidRDefault="00926ABA" w:rsidP="00926ABA">
                  <w:pPr>
                    <w:rPr>
                      <w:rFonts w:ascii="Times New Roman" w:hAnsi="Times New Roman"/>
                      <w:sz w:val="20"/>
                      <w:szCs w:val="20"/>
                    </w:rPr>
                  </w:pP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rFonts w:ascii="Calibri" w:eastAsiaTheme="minorHAnsi" w:hAnsi="Calibri" w:cs="Calibri"/>
                      <w:color w:val="000000"/>
                      <w:sz w:val="22"/>
                      <w:szCs w:val="22"/>
                    </w:rPr>
                  </w:pPr>
                  <w:r>
                    <w:rPr>
                      <w:color w:val="000000"/>
                    </w:rPr>
                    <w:t> </w:t>
                  </w:r>
                </w:p>
              </w:tc>
              <w:tc>
                <w:tcPr>
                  <w:tcW w:w="0" w:type="auto"/>
                  <w:gridSpan w:val="3"/>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spellStart"/>
                  <w:r>
                    <w:rPr>
                      <w:color w:val="000000"/>
                    </w:rPr>
                    <w:t>Eng</w:t>
                  </w:r>
                  <w:proofErr w:type="spellEnd"/>
                  <w:r>
                    <w:rPr>
                      <w:color w:val="000000"/>
                    </w:rPr>
                    <w:t xml:space="preserve"> 5+</w:t>
                  </w:r>
                </w:p>
              </w:tc>
              <w:tc>
                <w:tcPr>
                  <w:tcW w:w="0" w:type="auto"/>
                  <w:gridSpan w:val="3"/>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Ma 5+</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Gap</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rsidR="00926ABA" w:rsidRDefault="00926ABA" w:rsidP="00926ABA">
                  <w:pPr>
                    <w:jc w:val="center"/>
                    <w:rPr>
                      <w:color w:val="000000"/>
                    </w:rPr>
                  </w:pPr>
                  <w:r>
                    <w:rPr>
                      <w:color w:val="000000"/>
                    </w:rPr>
                    <w:t>Gap</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2021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40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63</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-23</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36</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54</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-18</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2020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42</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58</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-16</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33</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54</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-21</w:t>
                  </w:r>
                </w:p>
              </w:tc>
            </w:tr>
            <w:tr w:rsidR="00926ABA" w:rsidTr="00926ABA">
              <w:trPr>
                <w:trHeight w:val="315"/>
              </w:trPr>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2019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39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58</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28</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53</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-25</w:t>
                  </w:r>
                </w:p>
              </w:tc>
            </w:tr>
            <w:tr w:rsidR="00926ABA" w:rsidTr="00926ABA">
              <w:trPr>
                <w:trHeight w:val="315"/>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Average</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40</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60</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-19</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32</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54</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-21</w:t>
                  </w:r>
                </w:p>
              </w:tc>
            </w:tr>
            <w:tr w:rsidR="00926ABA" w:rsidTr="00926ABA">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b/>
                      <w:bCs/>
                      <w:color w:val="9C0006"/>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rsidR="00926ABA" w:rsidRDefault="00926ABA" w:rsidP="00926ABA">
                  <w:pPr>
                    <w:rPr>
                      <w:rFonts w:ascii="Times New Roman" w:hAnsi="Times New Roman"/>
                      <w:sz w:val="20"/>
                      <w:szCs w:val="20"/>
                    </w:rPr>
                  </w:pPr>
                </w:p>
              </w:tc>
            </w:tr>
            <w:tr w:rsidR="00926ABA" w:rsidTr="00926ABA">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center"/>
                  <w:hideMark/>
                </w:tcPr>
                <w:p w:rsidR="00926ABA" w:rsidRDefault="00926ABA" w:rsidP="00926ABA">
                  <w:pPr>
                    <w:rPr>
                      <w:rFonts w:ascii="Times New Roman" w:hAnsi="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rsidR="00926ABA" w:rsidRDefault="00926ABA" w:rsidP="00926ABA">
                  <w:pPr>
                    <w:rPr>
                      <w:rFonts w:ascii="Times New Roman" w:hAnsi="Times New Roman"/>
                      <w:sz w:val="20"/>
                      <w:szCs w:val="20"/>
                    </w:rPr>
                  </w:pP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rFonts w:ascii="Calibri" w:eastAsiaTheme="minorHAnsi" w:hAnsi="Calibri" w:cs="Calibri"/>
                      <w:color w:val="000000"/>
                      <w:sz w:val="22"/>
                      <w:szCs w:val="22"/>
                    </w:rPr>
                  </w:pPr>
                  <w:r>
                    <w:rPr>
                      <w:color w:val="000000"/>
                    </w:rPr>
                    <w:t> </w:t>
                  </w:r>
                </w:p>
              </w:tc>
              <w:tc>
                <w:tcPr>
                  <w:tcW w:w="0" w:type="auto"/>
                  <w:gridSpan w:val="3"/>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spellStart"/>
                  <w:r>
                    <w:rPr>
                      <w:color w:val="000000"/>
                    </w:rPr>
                    <w:t>Eng</w:t>
                  </w:r>
                  <w:proofErr w:type="spellEnd"/>
                  <w:r>
                    <w:rPr>
                      <w:color w:val="000000"/>
                    </w:rPr>
                    <w:t xml:space="preserve"> 4+</w:t>
                  </w:r>
                </w:p>
              </w:tc>
              <w:tc>
                <w:tcPr>
                  <w:tcW w:w="0" w:type="auto"/>
                  <w:gridSpan w:val="3"/>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Ma 4+</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Gap</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DA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proofErr w:type="gramStart"/>
                  <w:r>
                    <w:rPr>
                      <w:color w:val="000000"/>
                    </w:rPr>
                    <w:t>Non DA</w:t>
                  </w:r>
                  <w:proofErr w:type="gramEnd"/>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rsidR="00926ABA" w:rsidRDefault="00926ABA" w:rsidP="00926ABA">
                  <w:pPr>
                    <w:jc w:val="center"/>
                    <w:rPr>
                      <w:color w:val="000000"/>
                    </w:rPr>
                  </w:pPr>
                  <w:r>
                    <w:rPr>
                      <w:color w:val="000000"/>
                    </w:rPr>
                    <w:t>Gap</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2021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66</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81</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64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77</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-13</w:t>
                  </w:r>
                </w:p>
              </w:tc>
            </w:tr>
            <w:tr w:rsidR="00926ABA" w:rsidTr="00926ABA">
              <w:trPr>
                <w:trHeight w:val="300"/>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2020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68</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80</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-12</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61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75</w:t>
                  </w:r>
                </w:p>
              </w:tc>
              <w:tc>
                <w:tcPr>
                  <w:tcW w:w="0" w:type="auto"/>
                  <w:tcBorders>
                    <w:top w:val="nil"/>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-14</w:t>
                  </w:r>
                </w:p>
              </w:tc>
            </w:tr>
            <w:tr w:rsidR="00926ABA" w:rsidTr="00926ABA">
              <w:trPr>
                <w:trHeight w:val="315"/>
              </w:trPr>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2019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56</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75</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-19</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43</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926ABA" w:rsidRDefault="00926ABA" w:rsidP="00926ABA">
                  <w:pPr>
                    <w:jc w:val="center"/>
                    <w:rPr>
                      <w:color w:val="000000"/>
                    </w:rPr>
                  </w:pPr>
                  <w:r>
                    <w:rPr>
                      <w:color w:val="000000"/>
                    </w:rPr>
                    <w:t>75</w:t>
                  </w:r>
                </w:p>
              </w:tc>
              <w:tc>
                <w:tcPr>
                  <w:tcW w:w="0" w:type="auto"/>
                  <w:tcBorders>
                    <w:top w:val="nil"/>
                    <w:left w:val="nil"/>
                    <w:bottom w:val="nil"/>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color w:val="9C0006"/>
                    </w:rPr>
                  </w:pPr>
                  <w:r>
                    <w:rPr>
                      <w:color w:val="9C0006"/>
                    </w:rPr>
                    <w:t>-32</w:t>
                  </w:r>
                </w:p>
              </w:tc>
            </w:tr>
            <w:tr w:rsidR="00926ABA" w:rsidTr="00926ABA">
              <w:trPr>
                <w:trHeight w:val="315"/>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Average</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63</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79</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-15</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56</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926ABA" w:rsidRDefault="00926ABA" w:rsidP="00926ABA">
                  <w:pPr>
                    <w:jc w:val="center"/>
                    <w:rPr>
                      <w:b/>
                      <w:bCs/>
                      <w:color w:val="000000"/>
                    </w:rPr>
                  </w:pPr>
                  <w:r>
                    <w:rPr>
                      <w:b/>
                      <w:bCs/>
                      <w:color w:val="000000"/>
                    </w:rPr>
                    <w:t>76</w:t>
                  </w:r>
                </w:p>
              </w:tc>
              <w:tc>
                <w:tcPr>
                  <w:tcW w:w="0" w:type="auto"/>
                  <w:tcBorders>
                    <w:top w:val="single" w:sz="8" w:space="0" w:color="auto"/>
                    <w:left w:val="nil"/>
                    <w:bottom w:val="single" w:sz="8" w:space="0" w:color="auto"/>
                    <w:right w:val="single" w:sz="8" w:space="0" w:color="auto"/>
                  </w:tcBorders>
                  <w:shd w:val="clear" w:color="auto" w:fill="FFC7CE"/>
                  <w:tcMar>
                    <w:top w:w="15" w:type="dxa"/>
                    <w:left w:w="15" w:type="dxa"/>
                    <w:bottom w:w="15" w:type="dxa"/>
                    <w:right w:w="15" w:type="dxa"/>
                  </w:tcMar>
                  <w:vAlign w:val="center"/>
                  <w:hideMark/>
                </w:tcPr>
                <w:p w:rsidR="00926ABA" w:rsidRDefault="00926ABA" w:rsidP="00926ABA">
                  <w:pPr>
                    <w:jc w:val="center"/>
                    <w:rPr>
                      <w:b/>
                      <w:bCs/>
                      <w:color w:val="9C0006"/>
                    </w:rPr>
                  </w:pPr>
                  <w:r>
                    <w:rPr>
                      <w:b/>
                      <w:bCs/>
                      <w:color w:val="9C0006"/>
                    </w:rPr>
                    <w:t>-20</w:t>
                  </w:r>
                </w:p>
              </w:tc>
            </w:tr>
          </w:tbl>
          <w:p w:rsidR="00926ABA" w:rsidRDefault="00926ABA" w:rsidP="00926ABA">
            <w:pPr>
              <w:pStyle w:val="TableRowCentered"/>
              <w:jc w:val="left"/>
              <w:rPr>
                <w:iCs/>
                <w:color w:val="auto"/>
                <w:lang w:val="en-US"/>
              </w:rPr>
            </w:pPr>
          </w:p>
          <w:p w:rsidR="005571D7" w:rsidRDefault="002158C5" w:rsidP="00926ABA">
            <w:pPr>
              <w:pStyle w:val="TableRowCentered"/>
              <w:jc w:val="left"/>
              <w:rPr>
                <w:color w:val="auto"/>
              </w:rPr>
            </w:pPr>
            <w:r w:rsidRPr="00A50F03">
              <w:rPr>
                <w:iCs/>
                <w:color w:val="auto"/>
                <w:lang w:val="en-US"/>
              </w:rPr>
              <w:t>Subsequent internal and external (where available) assessments show that this</w:t>
            </w:r>
            <w:r w:rsidRPr="00A50F03">
              <w:rPr>
                <w:color w:val="auto"/>
              </w:rPr>
              <w:t xml:space="preserve"> gap </w:t>
            </w:r>
            <w:r w:rsidR="00F27AF3" w:rsidRPr="0050579B">
              <w:rPr>
                <w:color w:val="auto"/>
              </w:rPr>
              <w:t>remains steady</w:t>
            </w:r>
            <w:r w:rsidRPr="00A50F03">
              <w:rPr>
                <w:color w:val="auto"/>
              </w:rPr>
              <w:t xml:space="preserve"> during </w:t>
            </w:r>
            <w:r>
              <w:rPr>
                <w:color w:val="auto"/>
              </w:rPr>
              <w:t>students</w:t>
            </w:r>
            <w:r w:rsidRPr="00A50F03">
              <w:rPr>
                <w:color w:val="auto"/>
              </w:rPr>
              <w:t>’ time at our school.</w:t>
            </w:r>
          </w:p>
          <w:tbl>
            <w:tblPr>
              <w:tblW w:w="5540" w:type="dxa"/>
              <w:tblLook w:val="04A0" w:firstRow="1" w:lastRow="0" w:firstColumn="1" w:lastColumn="0" w:noHBand="0" w:noVBand="1"/>
            </w:tblPr>
            <w:tblGrid>
              <w:gridCol w:w="957"/>
              <w:gridCol w:w="957"/>
              <w:gridCol w:w="791"/>
              <w:gridCol w:w="698"/>
              <w:gridCol w:w="737"/>
              <w:gridCol w:w="760"/>
              <w:gridCol w:w="640"/>
            </w:tblGrid>
            <w:tr w:rsidR="00EB29FF" w:rsidTr="00EB29FF">
              <w:trPr>
                <w:trHeight w:val="81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sz w:val="22"/>
                      <w:szCs w:val="22"/>
                    </w:rPr>
                  </w:pPr>
                  <w:r>
                    <w:rPr>
                      <w:color w:val="000000"/>
                    </w:rPr>
                    <w:t> </w:t>
                  </w:r>
                </w:p>
              </w:tc>
              <w:tc>
                <w:tcPr>
                  <w:tcW w:w="96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 </w:t>
                  </w:r>
                </w:p>
              </w:tc>
              <w:tc>
                <w:tcPr>
                  <w:tcW w:w="78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Overall P8</w:t>
                  </w:r>
                </w:p>
              </w:tc>
              <w:tc>
                <w:tcPr>
                  <w:tcW w:w="70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proofErr w:type="spellStart"/>
                  <w:r>
                    <w:rPr>
                      <w:color w:val="000000"/>
                    </w:rPr>
                    <w:t>Eng</w:t>
                  </w:r>
                  <w:proofErr w:type="spellEnd"/>
                  <w:r>
                    <w:rPr>
                      <w:color w:val="000000"/>
                    </w:rPr>
                    <w:t xml:space="preserve"> P8</w:t>
                  </w:r>
                </w:p>
              </w:tc>
              <w:tc>
                <w:tcPr>
                  <w:tcW w:w="74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Ma P8</w:t>
                  </w:r>
                </w:p>
              </w:tc>
              <w:tc>
                <w:tcPr>
                  <w:tcW w:w="76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proofErr w:type="spellStart"/>
                  <w:r>
                    <w:rPr>
                      <w:color w:val="000000"/>
                    </w:rPr>
                    <w:t>Ebacc</w:t>
                  </w:r>
                  <w:proofErr w:type="spellEnd"/>
                  <w:r>
                    <w:rPr>
                      <w:color w:val="000000"/>
                    </w:rPr>
                    <w:t xml:space="preserve"> P8</w:t>
                  </w:r>
                </w:p>
              </w:tc>
              <w:tc>
                <w:tcPr>
                  <w:tcW w:w="64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Open P8</w:t>
                  </w:r>
                </w:p>
              </w:tc>
            </w:tr>
            <w:tr w:rsidR="00EB29FF" w:rsidTr="00EB29FF">
              <w:trPr>
                <w:trHeight w:val="300"/>
              </w:trPr>
              <w:tc>
                <w:tcPr>
                  <w:tcW w:w="0" w:type="auto"/>
                  <w:vMerge w:val="restar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2021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proofErr w:type="gramStart"/>
                  <w:r>
                    <w:rPr>
                      <w:color w:val="000000"/>
                    </w:rPr>
                    <w:t>Non DA</w:t>
                  </w:r>
                  <w:proofErr w:type="gramEnd"/>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0.4</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0.5</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DA</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Gap</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-0.5</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-0.6</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-0.2</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-0.7</w:t>
                  </w:r>
                </w:p>
              </w:tc>
            </w:tr>
            <w:tr w:rsidR="00EB29FF" w:rsidTr="00EB29FF">
              <w:trPr>
                <w:trHeight w:val="300"/>
              </w:trPr>
              <w:tc>
                <w:tcPr>
                  <w:tcW w:w="0" w:type="auto"/>
                  <w:vMerge w:val="restar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2020</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proofErr w:type="gramStart"/>
                  <w:r>
                    <w:rPr>
                      <w:color w:val="000000"/>
                    </w:rPr>
                    <w:t>Non DA</w:t>
                  </w:r>
                  <w:proofErr w:type="gramEnd"/>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0.5</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0.6</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0.6</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0.4</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DA</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Gap</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-0.3</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r>
            <w:tr w:rsidR="00EB29FF" w:rsidTr="00EB29FF">
              <w:trPr>
                <w:trHeight w:val="300"/>
              </w:trPr>
              <w:tc>
                <w:tcPr>
                  <w:tcW w:w="0" w:type="auto"/>
                  <w:vMerge w:val="restar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20</w:t>
                  </w:r>
                  <w:r w:rsidR="0050579B">
                    <w:rPr>
                      <w:color w:val="000000"/>
                    </w:rPr>
                    <w:t>1</w:t>
                  </w:r>
                  <w:r>
                    <w:rPr>
                      <w:color w:val="000000"/>
                    </w:rPr>
                    <w:t>9</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proofErr w:type="gramStart"/>
                  <w:r>
                    <w:rPr>
                      <w:color w:val="000000"/>
                    </w:rPr>
                    <w:t>Non DA</w:t>
                  </w:r>
                  <w:proofErr w:type="gramEnd"/>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0.3</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0.5</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0.1</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DA</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-0.5</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-0.4</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-0.2</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-0.4</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-0.7</w:t>
                  </w:r>
                </w:p>
              </w:tc>
            </w:tr>
            <w:tr w:rsidR="00EB29FF" w:rsidTr="00EB29FF">
              <w:trPr>
                <w:trHeight w:val="300"/>
              </w:trPr>
              <w:tc>
                <w:tcPr>
                  <w:tcW w:w="0" w:type="auto"/>
                  <w:vMerge/>
                  <w:tcBorders>
                    <w:top w:val="nil"/>
                    <w:left w:val="single" w:sz="4" w:space="0" w:color="auto"/>
                    <w:bottom w:val="single" w:sz="4" w:space="0" w:color="auto"/>
                    <w:right w:val="single" w:sz="4" w:space="0" w:color="auto"/>
                  </w:tcBorders>
                  <w:vAlign w:val="center"/>
                  <w:hideMark/>
                </w:tcPr>
                <w:p w:rsidR="00EB29FF" w:rsidRDefault="00EB29FF" w:rsidP="00EB29FF">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B29FF" w:rsidRDefault="00EB29FF" w:rsidP="00EB29FF">
                  <w:pPr>
                    <w:jc w:val="center"/>
                    <w:rPr>
                      <w:color w:val="000000"/>
                    </w:rPr>
                  </w:pPr>
                  <w:r>
                    <w:rPr>
                      <w:color w:val="000000"/>
                    </w:rPr>
                    <w:t>Gap</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-0.7</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-0.7</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-0.7</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-0.6</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-0.8</w:t>
                  </w:r>
                </w:p>
              </w:tc>
            </w:tr>
            <w:tr w:rsidR="00EB29FF" w:rsidTr="00EB29FF">
              <w:trPr>
                <w:trHeight w:val="300"/>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EB29FF" w:rsidRDefault="00EB29FF" w:rsidP="00EB29FF">
                  <w:pPr>
                    <w:jc w:val="center"/>
                    <w:rPr>
                      <w:color w:val="000000"/>
                    </w:rPr>
                  </w:pPr>
                  <w:r>
                    <w:rPr>
                      <w:color w:val="000000"/>
                    </w:rPr>
                    <w:t>Average</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-0.5</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-0.5</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-0.4</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-0.5</w:t>
                  </w:r>
                </w:p>
              </w:tc>
              <w:tc>
                <w:tcPr>
                  <w:tcW w:w="0" w:type="auto"/>
                  <w:tcBorders>
                    <w:top w:val="nil"/>
                    <w:left w:val="nil"/>
                    <w:bottom w:val="single" w:sz="4" w:space="0" w:color="auto"/>
                    <w:right w:val="single" w:sz="4" w:space="0" w:color="auto"/>
                  </w:tcBorders>
                  <w:shd w:val="clear" w:color="auto" w:fill="FFC7CE"/>
                  <w:tcMar>
                    <w:top w:w="15" w:type="dxa"/>
                    <w:left w:w="15" w:type="dxa"/>
                    <w:bottom w:w="15" w:type="dxa"/>
                    <w:right w:w="15" w:type="dxa"/>
                  </w:tcMar>
                  <w:vAlign w:val="center"/>
                  <w:hideMark/>
                </w:tcPr>
                <w:p w:rsidR="00EB29FF" w:rsidRDefault="00EB29FF" w:rsidP="00EB29FF">
                  <w:pPr>
                    <w:jc w:val="center"/>
                    <w:rPr>
                      <w:color w:val="9C0006"/>
                    </w:rPr>
                  </w:pPr>
                  <w:r>
                    <w:rPr>
                      <w:color w:val="9C0006"/>
                    </w:rPr>
                    <w:t>-0.6</w:t>
                  </w:r>
                </w:p>
              </w:tc>
            </w:tr>
          </w:tbl>
          <w:p w:rsidR="00EB29FF" w:rsidRDefault="00EB29FF" w:rsidP="00926ABA">
            <w:pPr>
              <w:pStyle w:val="TableRowCentered"/>
              <w:jc w:val="left"/>
              <w:rPr>
                <w:iCs/>
                <w:color w:val="auto"/>
                <w:lang w:val="en-US"/>
              </w:rPr>
            </w:pPr>
          </w:p>
          <w:p w:rsidR="00E66558" w:rsidRDefault="00576916" w:rsidP="00B328A5">
            <w:pPr>
              <w:pStyle w:val="TableRowCentered"/>
              <w:jc w:val="left"/>
            </w:pPr>
            <w:r>
              <w:rPr>
                <w:iCs/>
                <w:color w:val="auto"/>
                <w:lang w:val="en-US"/>
              </w:rPr>
              <w:t xml:space="preserve">In September 2021, a nurture group was created as a discreet year 7 class, taught by a year 6 teacher, incorporating </w:t>
            </w:r>
            <w:r w:rsidR="002158C5">
              <w:rPr>
                <w:iCs/>
                <w:color w:val="auto"/>
                <w:lang w:val="en-US"/>
              </w:rPr>
              <w:t>50</w:t>
            </w:r>
            <w:r>
              <w:rPr>
                <w:iCs/>
                <w:color w:val="auto"/>
                <w:lang w:val="en-US"/>
              </w:rPr>
              <w:t xml:space="preserve">% of disadvantaged students due to the particularly high number of students who were non-secondary ready on intake.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CF3C50" w:rsidRDefault="00B328A5" w:rsidP="00CF3C50">
            <w:pPr>
              <w:suppressAutoHyphens w:val="0"/>
              <w:autoSpaceDN/>
              <w:spacing w:before="60" w:line="240" w:lineRule="auto"/>
              <w:ind w:left="35" w:right="57"/>
              <w:rPr>
                <w:color w:val="auto"/>
              </w:rPr>
            </w:pPr>
            <w:r w:rsidRPr="00A50F03">
              <w:rPr>
                <w:color w:val="auto"/>
              </w:rPr>
              <w:t xml:space="preserve">Assessments, observations and discussion with KS3 </w:t>
            </w:r>
            <w:r w:rsidR="003268FA">
              <w:rPr>
                <w:color w:val="auto"/>
              </w:rPr>
              <w:t>students</w:t>
            </w:r>
            <w:r w:rsidRPr="00A50F03">
              <w:rPr>
                <w:color w:val="auto"/>
              </w:rPr>
              <w:t xml:space="preserve"> indicate that disadvantaged </w:t>
            </w:r>
            <w:r w:rsidR="003268FA">
              <w:rPr>
                <w:color w:val="auto"/>
              </w:rPr>
              <w:t>students</w:t>
            </w:r>
            <w:r w:rsidRPr="00A50F03">
              <w:rPr>
                <w:color w:val="auto"/>
              </w:rPr>
              <w:t xml:space="preserve"> generally have lower levels of reading comprehension than</w:t>
            </w:r>
            <w:r w:rsidR="00F27AF3">
              <w:rPr>
                <w:color w:val="auto"/>
              </w:rPr>
              <w:t xml:space="preserve"> their peers</w:t>
            </w:r>
            <w:r w:rsidRPr="00A50F03">
              <w:rPr>
                <w:color w:val="auto"/>
              </w:rPr>
              <w:t>. This impacts their progress in all subjects.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8A5" w:rsidRPr="00A50F03" w:rsidRDefault="00B328A5" w:rsidP="00B328A5">
            <w:pPr>
              <w:suppressAutoHyphens w:val="0"/>
              <w:autoSpaceDN/>
              <w:spacing w:before="60" w:line="240" w:lineRule="auto"/>
              <w:ind w:left="35" w:right="57"/>
              <w:rPr>
                <w:rFonts w:cs="Arial"/>
                <w:color w:val="auto"/>
              </w:rPr>
            </w:pPr>
            <w:r w:rsidRPr="00A50F03">
              <w:rPr>
                <w:rFonts w:cs="Arial"/>
                <w:iCs/>
                <w:color w:val="auto"/>
              </w:rPr>
              <w:t xml:space="preserve">Our assessments, observations and discussions with </w:t>
            </w:r>
            <w:r w:rsidR="003268FA">
              <w:rPr>
                <w:rFonts w:cs="Arial"/>
                <w:iCs/>
                <w:color w:val="auto"/>
              </w:rPr>
              <w:t>students</w:t>
            </w:r>
            <w:r w:rsidRPr="00A50F03">
              <w:rPr>
                <w:rFonts w:cs="Arial"/>
                <w:iCs/>
                <w:color w:val="auto"/>
              </w:rPr>
              <w:t xml:space="preserve"> and families suggest that the education and wellbeing of m</w:t>
            </w:r>
            <w:r w:rsidRPr="00A50F03">
              <w:rPr>
                <w:rFonts w:cs="Arial"/>
                <w:color w:val="auto"/>
              </w:rPr>
              <w:t xml:space="preserve">any of our disadvantaged </w:t>
            </w:r>
            <w:r w:rsidR="003268FA">
              <w:rPr>
                <w:rFonts w:cs="Arial"/>
                <w:color w:val="auto"/>
              </w:rPr>
              <w:t>students</w:t>
            </w:r>
            <w:r w:rsidRPr="00A50F03">
              <w:rPr>
                <w:rFonts w:cs="Arial"/>
                <w:color w:val="auto"/>
              </w:rPr>
              <w:t xml:space="preserve"> have been impacted by partial school closures to a greater extent than for other </w:t>
            </w:r>
            <w:r w:rsidR="003268FA">
              <w:rPr>
                <w:rFonts w:cs="Arial"/>
                <w:color w:val="auto"/>
              </w:rPr>
              <w:t>students</w:t>
            </w:r>
            <w:r w:rsidRPr="00A50F03">
              <w:rPr>
                <w:rFonts w:cs="Arial"/>
                <w:color w:val="auto"/>
              </w:rPr>
              <w:t>. These findings are backed up by several national studies.</w:t>
            </w:r>
            <w:r w:rsidR="00940407">
              <w:rPr>
                <w:rFonts w:cs="Arial"/>
                <w:color w:val="auto"/>
              </w:rPr>
              <w:t xml:space="preserve"> Our recent survey, carried out during in the initial stages of pandemic indicated that disadvantaged students have less access to the technology required for remote learning than their non-disadvantaged peers.</w:t>
            </w:r>
          </w:p>
          <w:p w:rsidR="00E66558" w:rsidRDefault="00B328A5" w:rsidP="00B328A5">
            <w:pPr>
              <w:pStyle w:val="TableRowCentered"/>
              <w:jc w:val="left"/>
              <w:rPr>
                <w:sz w:val="22"/>
                <w:szCs w:val="22"/>
              </w:rPr>
            </w:pPr>
            <w:r w:rsidRPr="00A50F03">
              <w:rPr>
                <w:rFonts w:cs="Arial"/>
                <w:color w:val="auto"/>
              </w:rPr>
              <w:t xml:space="preserve">This has resulted in significant knowledge gaps resulting in </w:t>
            </w:r>
            <w:r w:rsidR="003268FA">
              <w:rPr>
                <w:rFonts w:cs="Arial"/>
                <w:color w:val="auto"/>
              </w:rPr>
              <w:t>students</w:t>
            </w:r>
            <w:r w:rsidRPr="00A50F03">
              <w:rPr>
                <w:rFonts w:cs="Arial"/>
                <w:color w:val="auto"/>
              </w:rPr>
              <w:t xml:space="preserve"> falling further behind age-related expectations, </w:t>
            </w:r>
            <w:r w:rsidR="0050579B">
              <w:rPr>
                <w:rFonts w:cs="Arial"/>
                <w:color w:val="auto"/>
              </w:rPr>
              <w:t>slightly more</w:t>
            </w:r>
            <w:r w:rsidRPr="00A50F03">
              <w:rPr>
                <w:rFonts w:cs="Arial"/>
                <w:color w:val="auto"/>
              </w:rPr>
              <w:t xml:space="preserve"> in</w:t>
            </w:r>
            <w:r w:rsidR="0050579B">
              <w:rPr>
                <w:rFonts w:cs="Arial"/>
                <w:color w:val="auto"/>
              </w:rPr>
              <w:t xml:space="preserve"> English than in</w:t>
            </w:r>
            <w:r w:rsidRPr="00A50F03">
              <w:rPr>
                <w:rFonts w:cs="Arial"/>
                <w:color w:val="auto"/>
              </w:rPr>
              <w:t xml:space="preserve"> </w:t>
            </w:r>
            <w:r w:rsidRPr="0050579B">
              <w:rPr>
                <w:rFonts w:cs="Arial"/>
                <w:color w:val="auto"/>
              </w:rPr>
              <w:t>maths</w:t>
            </w:r>
            <w:r w:rsidR="0050579B">
              <w:rPr>
                <w:rFonts w:cs="Arial"/>
                <w:color w:val="auto"/>
              </w:rPr>
              <w: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B70D5">
            <w:pPr>
              <w:pStyle w:val="TableRowCentered"/>
              <w:jc w:val="left"/>
              <w:rPr>
                <w:iCs/>
                <w:sz w:val="22"/>
              </w:rPr>
            </w:pPr>
            <w:r w:rsidRPr="00A50F03">
              <w:rPr>
                <w:iCs/>
                <w:color w:val="auto"/>
              </w:rPr>
              <w:t xml:space="preserve">Our observations suggest many lower attaining disadvantaged </w:t>
            </w:r>
            <w:r w:rsidR="003268FA">
              <w:rPr>
                <w:iCs/>
                <w:color w:val="auto"/>
              </w:rPr>
              <w:t>students</w:t>
            </w:r>
            <w:r w:rsidRPr="00A50F03">
              <w:rPr>
                <w:iCs/>
                <w:color w:val="auto"/>
              </w:rPr>
              <w:t xml:space="preserve"> lack metacognitive / self-regulation strategies when faced with challenging tasks, notably in their monitoring and evaluation of their answers. This is indicated across the curriculum, </w:t>
            </w:r>
            <w:r w:rsidRPr="0050579B">
              <w:rPr>
                <w:iCs/>
                <w:color w:val="auto"/>
              </w:rPr>
              <w:t>particularly</w:t>
            </w:r>
            <w:r w:rsidR="009D34FE" w:rsidRPr="0050579B">
              <w:rPr>
                <w:iCs/>
                <w:color w:val="auto"/>
              </w:rPr>
              <w:t xml:space="preserve"> in the op</w:t>
            </w:r>
            <w:r w:rsidR="00C829CB" w:rsidRPr="0050579B">
              <w:rPr>
                <w:iCs/>
                <w:color w:val="auto"/>
              </w:rPr>
              <w:t xml:space="preserve">en </w:t>
            </w:r>
            <w:r w:rsidR="009D34FE" w:rsidRPr="0050579B">
              <w:rPr>
                <w:iCs/>
                <w:color w:val="auto"/>
              </w:rPr>
              <w:t>basket subjects at GCSE</w:t>
            </w:r>
            <w:r w:rsidRPr="0050579B">
              <w:rPr>
                <w:iCs/>
                <w:color w:val="auto"/>
              </w:rPr>
              <w:t>.</w:t>
            </w:r>
            <w:r w:rsidR="00576916">
              <w:rPr>
                <w:iCs/>
                <w:color w:val="auto"/>
              </w:rPr>
              <w:t xml:space="preserve"> Our surveys of disadvantaged students indicate that they benefit particularly from ‘flash marking</w:t>
            </w:r>
            <w:r w:rsidR="009D34FE">
              <w:rPr>
                <w:iCs/>
                <w:color w:val="auto"/>
              </w:rPr>
              <w:t>,</w:t>
            </w:r>
            <w:r w:rsidR="00576916">
              <w:rPr>
                <w:iCs/>
                <w:color w:val="auto"/>
              </w:rPr>
              <w:t>’ immediate feedback and access to Knowledge Organisers.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0D5" w:rsidRPr="00A50F03" w:rsidRDefault="008B70D5" w:rsidP="008B70D5">
            <w:pPr>
              <w:suppressAutoHyphens w:val="0"/>
              <w:autoSpaceDN/>
              <w:spacing w:before="60" w:line="240" w:lineRule="auto"/>
              <w:ind w:left="35" w:right="57"/>
              <w:rPr>
                <w:color w:val="auto"/>
              </w:rPr>
            </w:pPr>
            <w:r w:rsidRPr="00A50F03">
              <w:rPr>
                <w:rFonts w:cs="Arial"/>
                <w:iCs/>
                <w:color w:val="auto"/>
                <w:lang w:val="en-US"/>
              </w:rPr>
              <w:t xml:space="preserve">Our assessments (including wellbeing survey), observations and discussions with </w:t>
            </w:r>
            <w:r w:rsidR="003268FA">
              <w:rPr>
                <w:rFonts w:cs="Arial"/>
                <w:iCs/>
                <w:color w:val="auto"/>
                <w:lang w:val="en-US"/>
              </w:rPr>
              <w:t>students</w:t>
            </w:r>
            <w:r w:rsidRPr="00A50F03">
              <w:rPr>
                <w:rFonts w:cs="Arial"/>
                <w:iCs/>
                <w:color w:val="auto"/>
                <w:lang w:val="en-US"/>
              </w:rPr>
              <w:t xml:space="preserve"> and families have identified social and emotional issues for many </w:t>
            </w:r>
            <w:r w:rsidR="003268FA">
              <w:rPr>
                <w:rFonts w:cs="Arial"/>
                <w:iCs/>
                <w:color w:val="auto"/>
                <w:lang w:val="en-US"/>
              </w:rPr>
              <w:t>students</w:t>
            </w:r>
            <w:r w:rsidRPr="00A50F03">
              <w:rPr>
                <w:rFonts w:cs="Arial"/>
                <w:iCs/>
                <w:color w:val="auto"/>
                <w:lang w:val="en-US"/>
              </w:rPr>
              <w:t>, such as</w:t>
            </w:r>
            <w:r w:rsidRPr="00A50F03">
              <w:rPr>
                <w:color w:val="auto"/>
              </w:rPr>
              <w:t xml:space="preserve"> anxiety, depression (diagnosed by medical professionals) and low self-esteem. This is partly driven by concern about catching up lost learning and exams/future prospects, and the lack of enrichment opportunities due to the pandemic. </w:t>
            </w:r>
            <w:r w:rsidRPr="00A50F03">
              <w:rPr>
                <w:rFonts w:cs="Arial"/>
                <w:iCs/>
                <w:color w:val="auto"/>
                <w:lang w:val="en-US"/>
              </w:rPr>
              <w:t xml:space="preserve">These challenges particularly affect disadvantaged </w:t>
            </w:r>
            <w:r w:rsidR="003268FA">
              <w:rPr>
                <w:rFonts w:cs="Arial"/>
                <w:iCs/>
                <w:color w:val="auto"/>
                <w:lang w:val="en-US"/>
              </w:rPr>
              <w:t>students</w:t>
            </w:r>
            <w:r w:rsidRPr="00A50F03">
              <w:rPr>
                <w:rFonts w:cs="Arial"/>
                <w:iCs/>
                <w:color w:val="auto"/>
                <w:lang w:val="en-US"/>
              </w:rPr>
              <w:t>, including their attainment.</w:t>
            </w:r>
          </w:p>
          <w:p w:rsidR="00E66558" w:rsidRDefault="008B70D5" w:rsidP="008B70D5">
            <w:pPr>
              <w:pStyle w:val="TableRowCentered"/>
              <w:jc w:val="left"/>
              <w:rPr>
                <w:iCs/>
                <w:sz w:val="22"/>
              </w:rPr>
            </w:pPr>
            <w:r w:rsidRPr="00A50F03">
              <w:rPr>
                <w:rFonts w:cs="Arial"/>
                <w:color w:val="auto"/>
                <w:lang w:eastAsia="en-US"/>
              </w:rPr>
              <w:t xml:space="preserve">During the pandemic, teacher referrals for support markedly increased. </w:t>
            </w:r>
            <w:r w:rsidR="00707C88">
              <w:rPr>
                <w:rFonts w:cs="Arial"/>
                <w:color w:val="auto"/>
                <w:lang w:eastAsia="en-US"/>
              </w:rPr>
              <w:t xml:space="preserve">192 </w:t>
            </w:r>
            <w:r w:rsidR="003268FA">
              <w:rPr>
                <w:rFonts w:cs="Arial"/>
                <w:color w:val="auto"/>
                <w:lang w:eastAsia="en-US"/>
              </w:rPr>
              <w:t>students</w:t>
            </w:r>
            <w:r w:rsidRPr="00A50F03">
              <w:rPr>
                <w:rFonts w:cs="Arial"/>
                <w:color w:val="auto"/>
                <w:lang w:eastAsia="en-US"/>
              </w:rPr>
              <w:t xml:space="preserve"> </w:t>
            </w:r>
            <w:r w:rsidR="00707C88">
              <w:rPr>
                <w:rFonts w:cs="Arial"/>
                <w:color w:val="auto"/>
                <w:lang w:eastAsia="en-US"/>
              </w:rPr>
              <w:t>(98</w:t>
            </w:r>
            <w:r w:rsidRPr="00A50F03">
              <w:rPr>
                <w:rFonts w:cs="Arial"/>
                <w:color w:val="auto"/>
                <w:lang w:eastAsia="en-US"/>
              </w:rPr>
              <w:t xml:space="preserve"> of whom are disadvantaged) currently require additional support with social and emotional needs, with </w:t>
            </w:r>
            <w:r w:rsidR="00707C88">
              <w:rPr>
                <w:rFonts w:cs="Arial"/>
                <w:color w:val="auto"/>
                <w:lang w:eastAsia="en-US"/>
              </w:rPr>
              <w:t>76</w:t>
            </w:r>
            <w:r w:rsidRPr="00A50F03">
              <w:rPr>
                <w:rFonts w:cs="Arial"/>
                <w:color w:val="auto"/>
                <w:lang w:eastAsia="en-US"/>
              </w:rPr>
              <w:t xml:space="preserve"> (</w:t>
            </w:r>
            <w:r w:rsidR="00707C88">
              <w:rPr>
                <w:rFonts w:cs="Arial"/>
                <w:color w:val="auto"/>
                <w:lang w:eastAsia="en-US"/>
              </w:rPr>
              <w:t xml:space="preserve">51 </w:t>
            </w:r>
            <w:r w:rsidRPr="00A50F03">
              <w:rPr>
                <w:rFonts w:cs="Arial"/>
                <w:color w:val="auto"/>
                <w:lang w:eastAsia="en-US"/>
              </w:rPr>
              <w:t>of whom are disadvantaged) currently receiving small group interventions.</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B70D5">
            <w:pPr>
              <w:pStyle w:val="TableRow"/>
            </w:pPr>
            <w:r w:rsidRPr="00A50F03">
              <w:rPr>
                <w:iCs/>
                <w:color w:val="auto"/>
              </w:rPr>
              <w:t xml:space="preserve">Improved attainment among disadvantaged </w:t>
            </w:r>
            <w:r w:rsidR="003268FA">
              <w:rPr>
                <w:iCs/>
                <w:color w:val="auto"/>
              </w:rPr>
              <w:t>students</w:t>
            </w:r>
            <w:r w:rsidRPr="00A50F03">
              <w:rPr>
                <w:iCs/>
                <w:color w:val="auto"/>
              </w:rPr>
              <w:t xml:space="preserve"> across the curriculum at the end of KS4</w:t>
            </w:r>
            <w:r w:rsidR="0050579B">
              <w:rPr>
                <w:iCs/>
                <w:color w:val="auto"/>
              </w:rPr>
              <w:t>, particularly within the open basket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0D5" w:rsidRPr="00A50F03" w:rsidRDefault="008B70D5" w:rsidP="008B70D5">
            <w:pPr>
              <w:suppressAutoHyphens w:val="0"/>
              <w:autoSpaceDN/>
              <w:spacing w:before="60" w:after="120" w:line="240" w:lineRule="auto"/>
              <w:ind w:left="29" w:right="57"/>
              <w:rPr>
                <w:color w:val="auto"/>
              </w:rPr>
            </w:pPr>
            <w:r w:rsidRPr="00A50F03">
              <w:rPr>
                <w:color w:val="auto"/>
              </w:rPr>
              <w:t>By the end of our current plan in 202</w:t>
            </w:r>
            <w:r w:rsidR="002C05E9">
              <w:rPr>
                <w:color w:val="auto"/>
              </w:rPr>
              <w:t>4</w:t>
            </w:r>
            <w:r w:rsidRPr="00A50F03">
              <w:rPr>
                <w:color w:val="auto"/>
              </w:rPr>
              <w:t>/2</w:t>
            </w:r>
            <w:r w:rsidR="002C05E9">
              <w:rPr>
                <w:color w:val="auto"/>
              </w:rPr>
              <w:t>5</w:t>
            </w:r>
            <w:r w:rsidR="0050579B" w:rsidRPr="0050579B">
              <w:rPr>
                <w:color w:val="auto"/>
              </w:rPr>
              <w:t>,</w:t>
            </w:r>
            <w:r w:rsidRPr="00A50F03">
              <w:rPr>
                <w:color w:val="auto"/>
              </w:rPr>
              <w:t xml:space="preserve"> disadvantaged </w:t>
            </w:r>
            <w:r w:rsidR="003268FA">
              <w:rPr>
                <w:color w:val="auto"/>
              </w:rPr>
              <w:t>students</w:t>
            </w:r>
            <w:r w:rsidR="0050579B">
              <w:rPr>
                <w:color w:val="auto"/>
              </w:rPr>
              <w:t xml:space="preserve"> have a gap of no more than -0.1% with non-disadvantaged students within the open basket subjects</w:t>
            </w:r>
          </w:p>
          <w:p w:rsidR="008B70D5" w:rsidRPr="00A50F03" w:rsidRDefault="008B70D5" w:rsidP="008B70D5">
            <w:pPr>
              <w:suppressAutoHyphens w:val="0"/>
              <w:autoSpaceDN/>
              <w:spacing w:before="60" w:after="60" w:line="240" w:lineRule="auto"/>
              <w:ind w:left="29" w:right="57"/>
              <w:rPr>
                <w:color w:val="auto"/>
              </w:rPr>
            </w:pPr>
            <w:r w:rsidRPr="00A50F03">
              <w:rPr>
                <w:color w:val="auto"/>
              </w:rPr>
              <w:t>202</w:t>
            </w:r>
            <w:r w:rsidR="002C05E9">
              <w:rPr>
                <w:color w:val="auto"/>
              </w:rPr>
              <w:t>4</w:t>
            </w:r>
            <w:r w:rsidRPr="00A50F03">
              <w:rPr>
                <w:color w:val="auto"/>
              </w:rPr>
              <w:t>/2</w:t>
            </w:r>
            <w:r w:rsidR="002C05E9">
              <w:rPr>
                <w:color w:val="auto"/>
              </w:rPr>
              <w:t>5</w:t>
            </w:r>
            <w:r w:rsidRPr="00A50F03">
              <w:rPr>
                <w:color w:val="auto"/>
              </w:rPr>
              <w:t xml:space="preserve"> KS4 outcomes demonstrate that disadvantaged </w:t>
            </w:r>
            <w:r w:rsidR="003268FA">
              <w:rPr>
                <w:color w:val="auto"/>
              </w:rPr>
              <w:t>students</w:t>
            </w:r>
            <w:r w:rsidRPr="00A50F03">
              <w:rPr>
                <w:color w:val="auto"/>
              </w:rPr>
              <w:t xml:space="preserve"> achieve:</w:t>
            </w:r>
          </w:p>
          <w:p w:rsidR="0050579B" w:rsidRDefault="008B70D5" w:rsidP="008B70D5">
            <w:pPr>
              <w:pStyle w:val="ListParagraph"/>
              <w:numPr>
                <w:ilvl w:val="0"/>
                <w:numId w:val="15"/>
              </w:numPr>
              <w:suppressAutoHyphens w:val="0"/>
              <w:autoSpaceDN/>
              <w:spacing w:before="60" w:after="60" w:line="240" w:lineRule="auto"/>
              <w:ind w:right="57"/>
              <w:rPr>
                <w:color w:val="auto"/>
              </w:rPr>
            </w:pPr>
            <w:r w:rsidRPr="00A50F03">
              <w:rPr>
                <w:color w:val="auto"/>
              </w:rPr>
              <w:t xml:space="preserve">an average </w:t>
            </w:r>
            <w:r w:rsidR="0050579B">
              <w:rPr>
                <w:color w:val="auto"/>
              </w:rPr>
              <w:t>Progress</w:t>
            </w:r>
            <w:r w:rsidRPr="00A50F03">
              <w:rPr>
                <w:color w:val="auto"/>
              </w:rPr>
              <w:t xml:space="preserve"> 8 score of</w:t>
            </w:r>
            <w:r w:rsidR="0050579B">
              <w:rPr>
                <w:color w:val="auto"/>
              </w:rPr>
              <w:t xml:space="preserve"> </w:t>
            </w:r>
          </w:p>
          <w:p w:rsidR="008B70D5" w:rsidRPr="00A50F03" w:rsidRDefault="0050579B" w:rsidP="0050579B">
            <w:pPr>
              <w:pStyle w:val="ListParagraph"/>
              <w:numPr>
                <w:ilvl w:val="0"/>
                <w:numId w:val="0"/>
              </w:numPr>
              <w:suppressAutoHyphens w:val="0"/>
              <w:autoSpaceDN/>
              <w:spacing w:before="60" w:after="60" w:line="240" w:lineRule="auto"/>
              <w:ind w:left="417" w:right="57"/>
              <w:rPr>
                <w:color w:val="auto"/>
              </w:rPr>
            </w:pPr>
            <w:r>
              <w:rPr>
                <w:color w:val="auto"/>
              </w:rPr>
              <w:t>-0.1% or less</w:t>
            </w:r>
          </w:p>
          <w:p w:rsidR="00E66558" w:rsidRDefault="00E66558" w:rsidP="008B70D5">
            <w:pPr>
              <w:pStyle w:val="TableRowCentered"/>
              <w:jc w:val="left"/>
              <w:rPr>
                <w:sz w:val="22"/>
                <w:szCs w:val="22"/>
              </w:rPr>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0D5" w:rsidRPr="00A50F03" w:rsidRDefault="008B70D5" w:rsidP="008B70D5">
            <w:pPr>
              <w:pStyle w:val="TableRow"/>
              <w:rPr>
                <w:iCs/>
                <w:color w:val="auto"/>
              </w:rPr>
            </w:pPr>
            <w:r w:rsidRPr="00A50F03">
              <w:rPr>
                <w:color w:val="auto"/>
              </w:rPr>
              <w:t xml:space="preserve">Improved reading comprehension among disadvantaged </w:t>
            </w:r>
            <w:r w:rsidR="003268FA">
              <w:rPr>
                <w:color w:val="auto"/>
              </w:rPr>
              <w:t>students</w:t>
            </w:r>
            <w:r w:rsidRPr="00A50F03">
              <w:rPr>
                <w:color w:val="auto"/>
              </w:rPr>
              <w:t xml:space="preserve"> across KS3</w:t>
            </w:r>
            <w:r>
              <w:rPr>
                <w:color w:val="auto"/>
              </w:rPr>
              <w:t>.</w:t>
            </w:r>
          </w:p>
          <w:p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D4E9C">
            <w:pPr>
              <w:pStyle w:val="TableRowCentered"/>
              <w:jc w:val="left"/>
              <w:rPr>
                <w:sz w:val="22"/>
                <w:szCs w:val="22"/>
              </w:rPr>
            </w:pPr>
            <w:r w:rsidRPr="00A50F03">
              <w:rPr>
                <w:color w:val="auto"/>
              </w:rPr>
              <w:t xml:space="preserve">Reading comprehension tests demonstrate improved comprehension skills among disadvantaged </w:t>
            </w:r>
            <w:r w:rsidR="003268FA">
              <w:rPr>
                <w:color w:val="auto"/>
              </w:rPr>
              <w:t>students</w:t>
            </w:r>
            <w:r w:rsidRPr="00A50F03">
              <w:rPr>
                <w:color w:val="auto"/>
              </w:rPr>
              <w:t xml:space="preserve"> and a smaller disparity between the scores of disadvantaged </w:t>
            </w:r>
            <w:r w:rsidR="003268FA">
              <w:rPr>
                <w:color w:val="auto"/>
              </w:rPr>
              <w:t>students</w:t>
            </w:r>
            <w:r w:rsidRPr="00A50F03">
              <w:rPr>
                <w:color w:val="auto"/>
              </w:rPr>
              <w:t xml:space="preserve"> and their non-disadvantaged peers. Teachers should also have recognised this improvement through engagement in lessons and </w:t>
            </w:r>
            <w:r w:rsidR="00707C88">
              <w:rPr>
                <w:color w:val="auto"/>
              </w:rPr>
              <w:t xml:space="preserve">evidence of increased directly linked to feedback through </w:t>
            </w:r>
            <w:r w:rsidRPr="00A50F03">
              <w:rPr>
                <w:color w:val="auto"/>
              </w:rPr>
              <w:t>book scrutiny.</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8B70D5">
            <w:pPr>
              <w:pStyle w:val="TableRow"/>
              <w:rPr>
                <w:sz w:val="22"/>
                <w:szCs w:val="22"/>
              </w:rPr>
            </w:pPr>
            <w:r w:rsidRPr="00A50F03">
              <w:rPr>
                <w:color w:val="auto"/>
              </w:rPr>
              <w:t xml:space="preserve">Improved metacognitive and self-regulatory skills among disadvantaged </w:t>
            </w:r>
            <w:r w:rsidR="003268FA">
              <w:rPr>
                <w:color w:val="auto"/>
              </w:rPr>
              <w:t>students</w:t>
            </w:r>
            <w:r w:rsidRPr="00A50F03">
              <w:rPr>
                <w:color w:val="auto"/>
              </w:rPr>
              <w:t xml:space="preserve"> across all subjects</w:t>
            </w:r>
            <w:r>
              <w:rPr>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D4E9C">
            <w:pPr>
              <w:pStyle w:val="TableRowCentered"/>
              <w:jc w:val="left"/>
              <w:rPr>
                <w:sz w:val="22"/>
                <w:szCs w:val="22"/>
              </w:rPr>
            </w:pPr>
            <w:r w:rsidRPr="00A50F03">
              <w:rPr>
                <w:color w:val="auto"/>
              </w:rPr>
              <w:t xml:space="preserve">Teacher reports and class observations suggest disadvantaged </w:t>
            </w:r>
            <w:r w:rsidR="003268FA">
              <w:rPr>
                <w:color w:val="auto"/>
              </w:rPr>
              <w:t>students</w:t>
            </w:r>
            <w:r w:rsidRPr="00A50F03">
              <w:rPr>
                <w:color w:val="auto"/>
              </w:rPr>
              <w:t xml:space="preserve"> are more able to monitor and regulate their own learning. This finding i</w:t>
            </w:r>
            <w:r w:rsidR="00940407">
              <w:rPr>
                <w:color w:val="auto"/>
              </w:rPr>
              <w:t xml:space="preserve">s </w:t>
            </w:r>
            <w:r w:rsidRPr="00A50F03">
              <w:rPr>
                <w:color w:val="auto"/>
              </w:rPr>
              <w:t xml:space="preserve">supported by </w:t>
            </w:r>
            <w:r w:rsidR="00940407">
              <w:rPr>
                <w:color w:val="auto"/>
              </w:rPr>
              <w:t xml:space="preserve">engagement with Google Classroom </w:t>
            </w:r>
            <w:r w:rsidRPr="00A50F03">
              <w:rPr>
                <w:color w:val="auto"/>
              </w:rPr>
              <w:t>homework completion rates across all classes and subjects.</w:t>
            </w:r>
          </w:p>
        </w:tc>
      </w:tr>
      <w:tr w:rsidR="00BD4E9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E9C" w:rsidRDefault="00BD4E9C" w:rsidP="00BD4E9C">
            <w:pPr>
              <w:pStyle w:val="TableRow"/>
              <w:rPr>
                <w:sz w:val="22"/>
                <w:szCs w:val="22"/>
              </w:rPr>
            </w:pPr>
            <w:r w:rsidRPr="00A50F03">
              <w:rPr>
                <w:color w:val="auto"/>
              </w:rPr>
              <w:t xml:space="preserve">To achieve and sustain improved wellbeing for all </w:t>
            </w:r>
            <w:r w:rsidR="003268FA">
              <w:rPr>
                <w:color w:val="auto"/>
              </w:rPr>
              <w:t>students</w:t>
            </w:r>
            <w:r w:rsidRPr="00A50F03">
              <w:rPr>
                <w:color w:val="auto"/>
              </w:rPr>
              <w:t>, including those who are disadvantaged</w:t>
            </w:r>
            <w:r>
              <w:rPr>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E9C" w:rsidRPr="00A50F03" w:rsidRDefault="00BD4E9C" w:rsidP="00BD4E9C">
            <w:pPr>
              <w:suppressAutoHyphens w:val="0"/>
              <w:autoSpaceDN/>
              <w:spacing w:before="60" w:after="60" w:line="240" w:lineRule="auto"/>
              <w:ind w:left="28" w:right="57"/>
              <w:rPr>
                <w:rFonts w:cs="Arial"/>
                <w:color w:val="auto"/>
              </w:rPr>
            </w:pPr>
            <w:r w:rsidRPr="00A50F03">
              <w:rPr>
                <w:rFonts w:cs="Arial"/>
                <w:color w:val="auto"/>
              </w:rPr>
              <w:t>Sustained high levels of wellbeing from 2024/25 demonstrated by:</w:t>
            </w:r>
          </w:p>
          <w:p w:rsidR="00BD4E9C" w:rsidRPr="00A50F03" w:rsidRDefault="00BD4E9C" w:rsidP="00BD4E9C">
            <w:pPr>
              <w:numPr>
                <w:ilvl w:val="0"/>
                <w:numId w:val="16"/>
              </w:numPr>
              <w:suppressAutoHyphens w:val="0"/>
              <w:autoSpaceDN/>
              <w:spacing w:before="60" w:after="120" w:line="240" w:lineRule="auto"/>
              <w:ind w:right="57" w:hanging="357"/>
              <w:rPr>
                <w:rFonts w:cs="Arial"/>
                <w:color w:val="auto"/>
              </w:rPr>
            </w:pPr>
            <w:r w:rsidRPr="00A50F03">
              <w:rPr>
                <w:rFonts w:cs="Arial"/>
                <w:color w:val="auto"/>
              </w:rPr>
              <w:t>qualitative data from student voice, student and parent surveys and teacher observations.</w:t>
            </w:r>
          </w:p>
          <w:p w:rsidR="00BD4E9C" w:rsidRDefault="00BD4E9C" w:rsidP="00BD4E9C">
            <w:pPr>
              <w:pStyle w:val="TableRowCentered"/>
              <w:jc w:val="left"/>
              <w:rPr>
                <w:sz w:val="22"/>
                <w:szCs w:val="22"/>
              </w:rPr>
            </w:pPr>
            <w:r w:rsidRPr="00A50F03">
              <w:rPr>
                <w:rFonts w:cs="Arial"/>
                <w:color w:val="auto"/>
              </w:rPr>
              <w:t xml:space="preserve">a significant increase in participation in enrichment activities, particularly among disadvantaged </w:t>
            </w:r>
            <w:r w:rsidR="003268FA">
              <w:rPr>
                <w:rFonts w:cs="Arial"/>
                <w:color w:val="auto"/>
              </w:rPr>
              <w:t>students</w:t>
            </w:r>
            <w:r w:rsidRPr="00A50F03">
              <w:rPr>
                <w:rFonts w:cs="Arial"/>
                <w:color w:val="auto"/>
              </w:rPr>
              <w:t xml:space="preserve">.    </w:t>
            </w:r>
          </w:p>
        </w:tc>
      </w:tr>
      <w:tr w:rsidR="00BD4E9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E9C" w:rsidRPr="00A50F03" w:rsidRDefault="00BD4E9C" w:rsidP="00BD4E9C">
            <w:pPr>
              <w:pStyle w:val="TableRow"/>
              <w:rPr>
                <w:color w:val="auto"/>
              </w:rPr>
            </w:pPr>
            <w:r w:rsidRPr="00A50F03">
              <w:rPr>
                <w:rFonts w:cs="Arial"/>
                <w:color w:val="auto"/>
              </w:rPr>
              <w:t xml:space="preserve">To achieve and sustain improved attendance for all </w:t>
            </w:r>
            <w:r w:rsidR="003268FA">
              <w:rPr>
                <w:rFonts w:cs="Arial"/>
                <w:color w:val="auto"/>
              </w:rPr>
              <w:t>students</w:t>
            </w:r>
            <w:r w:rsidRPr="00A50F03">
              <w:rPr>
                <w:rFonts w:cs="Arial"/>
                <w:color w:val="auto"/>
              </w:rPr>
              <w:t xml:space="preserve">, </w:t>
            </w:r>
            <w:r>
              <w:rPr>
                <w:rFonts w:cs="Arial"/>
                <w:color w:val="auto"/>
              </w:rPr>
              <w:t>particularly</w:t>
            </w:r>
            <w:r w:rsidRPr="00A50F03">
              <w:rPr>
                <w:rFonts w:cs="Arial"/>
                <w:color w:val="auto"/>
              </w:rPr>
              <w:t xml:space="preserve"> </w:t>
            </w:r>
            <w:r>
              <w:rPr>
                <w:rFonts w:cs="Arial"/>
                <w:color w:val="auto"/>
              </w:rPr>
              <w:t>our</w:t>
            </w:r>
            <w:r w:rsidRPr="00A50F03">
              <w:rPr>
                <w:rFonts w:cs="Arial"/>
                <w:color w:val="auto"/>
              </w:rPr>
              <w:t xml:space="preserve"> disadvantaged </w:t>
            </w:r>
            <w:r w:rsidR="003268FA">
              <w:rPr>
                <w:rFonts w:cs="Arial"/>
                <w:color w:val="auto"/>
              </w:rPr>
              <w:t>students</w:t>
            </w:r>
            <w:r>
              <w:rPr>
                <w:rFonts w:cs="Arial"/>
                <w:color w:val="auto"/>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E9C" w:rsidRPr="00A50F03" w:rsidRDefault="00BD4E9C" w:rsidP="00BD4E9C">
            <w:pPr>
              <w:suppressAutoHyphens w:val="0"/>
              <w:autoSpaceDN/>
              <w:spacing w:before="60" w:after="60" w:line="240" w:lineRule="auto"/>
              <w:ind w:left="29" w:right="57"/>
              <w:rPr>
                <w:rFonts w:cs="Arial"/>
                <w:color w:val="auto"/>
              </w:rPr>
            </w:pPr>
            <w:r w:rsidRPr="00A50F03">
              <w:rPr>
                <w:rFonts w:cs="Arial"/>
                <w:color w:val="auto"/>
              </w:rPr>
              <w:t>Sustained high attendance from 2024/25 demonstrated by:</w:t>
            </w:r>
          </w:p>
          <w:p w:rsidR="00BD4E9C" w:rsidRPr="00E27862" w:rsidRDefault="00BD4E9C" w:rsidP="00BD4E9C">
            <w:pPr>
              <w:pStyle w:val="ListParagraph"/>
              <w:numPr>
                <w:ilvl w:val="0"/>
                <w:numId w:val="17"/>
              </w:numPr>
              <w:suppressAutoHyphens w:val="0"/>
              <w:autoSpaceDN/>
              <w:spacing w:before="60" w:after="60" w:line="240" w:lineRule="auto"/>
              <w:ind w:right="57"/>
              <w:rPr>
                <w:rFonts w:cs="Arial"/>
                <w:color w:val="auto"/>
              </w:rPr>
            </w:pPr>
            <w:r w:rsidRPr="00E27862">
              <w:rPr>
                <w:rFonts w:cs="Arial"/>
                <w:color w:val="auto"/>
              </w:rPr>
              <w:t xml:space="preserve">the overall absence rate for all </w:t>
            </w:r>
            <w:r w:rsidR="003268FA">
              <w:rPr>
                <w:rFonts w:cs="Arial"/>
                <w:color w:val="auto"/>
              </w:rPr>
              <w:t>students</w:t>
            </w:r>
            <w:r w:rsidRPr="00E27862">
              <w:rPr>
                <w:rFonts w:cs="Arial"/>
                <w:color w:val="auto"/>
              </w:rPr>
              <w:t xml:space="preserve"> being no more than </w:t>
            </w:r>
            <w:r w:rsidR="0057420E">
              <w:rPr>
                <w:rFonts w:cs="Arial"/>
                <w:color w:val="auto"/>
              </w:rPr>
              <w:t>6</w:t>
            </w:r>
            <w:r w:rsidRPr="00E27862">
              <w:rPr>
                <w:rFonts w:cs="Arial"/>
                <w:color w:val="auto"/>
              </w:rPr>
              <w:t xml:space="preserve">%, and the attendance gap between disadvantaged </w:t>
            </w:r>
            <w:r w:rsidR="003268FA">
              <w:rPr>
                <w:rFonts w:cs="Arial"/>
                <w:color w:val="auto"/>
              </w:rPr>
              <w:t>students</w:t>
            </w:r>
            <w:r w:rsidRPr="00E27862">
              <w:rPr>
                <w:rFonts w:cs="Arial"/>
                <w:color w:val="auto"/>
              </w:rPr>
              <w:t xml:space="preserve"> and their non-disadvantaged peers being reduced by </w:t>
            </w:r>
            <w:r w:rsidR="0057420E">
              <w:rPr>
                <w:rFonts w:cs="Arial"/>
                <w:color w:val="auto"/>
              </w:rPr>
              <w:t>8</w:t>
            </w:r>
            <w:r w:rsidRPr="00E27862">
              <w:rPr>
                <w:rFonts w:cs="Arial"/>
                <w:color w:val="auto"/>
              </w:rPr>
              <w:t>%.</w:t>
            </w:r>
          </w:p>
          <w:p w:rsidR="00BD4E9C" w:rsidRDefault="00BD4E9C" w:rsidP="00BD4E9C">
            <w:pPr>
              <w:pStyle w:val="TableRowCentered"/>
              <w:jc w:val="left"/>
              <w:rPr>
                <w:sz w:val="22"/>
                <w:szCs w:val="22"/>
              </w:rPr>
            </w:pPr>
            <w:r w:rsidRPr="00E27862">
              <w:rPr>
                <w:rFonts w:cs="Arial"/>
                <w:color w:val="auto"/>
              </w:rPr>
              <w:t xml:space="preserve">the percentage of all </w:t>
            </w:r>
            <w:r w:rsidR="003268FA">
              <w:rPr>
                <w:rFonts w:cs="Arial"/>
                <w:color w:val="auto"/>
              </w:rPr>
              <w:t>students</w:t>
            </w:r>
            <w:r w:rsidRPr="00E27862">
              <w:rPr>
                <w:rFonts w:cs="Arial"/>
                <w:color w:val="auto"/>
              </w:rPr>
              <w:t xml:space="preserve"> who are persistently absent being below </w:t>
            </w:r>
            <w:r w:rsidR="0057420E">
              <w:rPr>
                <w:rFonts w:cs="Arial"/>
                <w:color w:val="auto"/>
              </w:rPr>
              <w:t>13</w:t>
            </w:r>
            <w:r w:rsidRPr="00E27862">
              <w:rPr>
                <w:rFonts w:cs="Arial"/>
                <w:color w:val="auto"/>
              </w:rPr>
              <w:t xml:space="preserve">% and the figure among disadvantaged </w:t>
            </w:r>
            <w:r w:rsidR="003268FA">
              <w:rPr>
                <w:rFonts w:cs="Arial"/>
                <w:color w:val="auto"/>
              </w:rPr>
              <w:t>students</w:t>
            </w:r>
            <w:r w:rsidRPr="00E27862">
              <w:rPr>
                <w:rFonts w:cs="Arial"/>
                <w:color w:val="auto"/>
              </w:rPr>
              <w:t xml:space="preserve"> being no more than </w:t>
            </w:r>
            <w:r w:rsidR="0057420E">
              <w:rPr>
                <w:rFonts w:cs="Arial"/>
                <w:color w:val="auto"/>
              </w:rPr>
              <w:t>2</w:t>
            </w:r>
            <w:r w:rsidRPr="00E27862">
              <w:rPr>
                <w:rFonts w:cs="Arial"/>
                <w:color w:val="auto"/>
              </w:rPr>
              <w:t>% lower than their peers.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w:t>
      </w:r>
      <w:r w:rsidR="00C015A4" w:rsidRPr="000A45C7">
        <w:rPr>
          <w:b/>
          <w:iCs/>
        </w:rPr>
        <w:t>£181,750</w:t>
      </w:r>
    </w:p>
    <w:tbl>
      <w:tblPr>
        <w:tblW w:w="5000" w:type="pct"/>
        <w:tblCellMar>
          <w:left w:w="10" w:type="dxa"/>
          <w:right w:w="10" w:type="dxa"/>
        </w:tblCellMar>
        <w:tblLook w:val="04A0" w:firstRow="1" w:lastRow="0" w:firstColumn="1" w:lastColumn="0" w:noHBand="0" w:noVBand="1"/>
      </w:tblPr>
      <w:tblGrid>
        <w:gridCol w:w="1865"/>
        <w:gridCol w:w="5871"/>
        <w:gridCol w:w="1750"/>
      </w:tblGrid>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uppressAutoHyphens w:val="0"/>
              <w:autoSpaceDE w:val="0"/>
              <w:spacing w:after="0" w:line="240" w:lineRule="auto"/>
            </w:pPr>
            <w:r w:rsidRPr="00343503">
              <w:t>Known, Cared For, Understood-ensure all staff have secure knowledge of DA student profiles from Go4S</w:t>
            </w:r>
          </w:p>
          <w:p w:rsidR="00E66558" w:rsidRPr="00343503" w:rsidRDefault="00E66558">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E1771">
            <w:pPr>
              <w:pStyle w:val="TableRowCentered"/>
              <w:jc w:val="left"/>
              <w:rPr>
                <w:sz w:val="22"/>
              </w:rPr>
            </w:pPr>
            <w:r>
              <w:rPr>
                <w:sz w:val="22"/>
              </w:rPr>
              <w:t xml:space="preserve">Our core belief over many years at THS is that all students should be known, cared for and understood and that students are better supported and can achieve better outcomes when there is a genuine three-way relationship between teachers, students and their parents. The expectation therefore is that all staff are familiar with Pupil Premium students in their classes, </w:t>
            </w:r>
            <w:r w:rsidR="00F71580">
              <w:rPr>
                <w:sz w:val="22"/>
              </w:rPr>
              <w:t xml:space="preserve">and </w:t>
            </w:r>
            <w:r>
              <w:rPr>
                <w:sz w:val="22"/>
              </w:rPr>
              <w:t>prioritise their marking and feedback</w:t>
            </w:r>
            <w:r w:rsidR="00F71580">
              <w:rPr>
                <w:sz w:val="22"/>
              </w:rPr>
              <w:t>. Teaching staff</w:t>
            </w:r>
            <w:r>
              <w:rPr>
                <w:sz w:val="22"/>
              </w:rPr>
              <w:t xml:space="preserve"> create additional </w:t>
            </w:r>
            <w:r w:rsidR="00F71580">
              <w:rPr>
                <w:sz w:val="22"/>
              </w:rPr>
              <w:t xml:space="preserve">supportive </w:t>
            </w:r>
            <w:r>
              <w:rPr>
                <w:sz w:val="22"/>
              </w:rPr>
              <w:t>strategies in any subject where th</w:t>
            </w:r>
            <w:r w:rsidR="00F71580">
              <w:rPr>
                <w:sz w:val="22"/>
              </w:rPr>
              <w:t xml:space="preserve">e top ten students in each of the </w:t>
            </w:r>
            <w:proofErr w:type="gramStart"/>
            <w:r w:rsidR="00F71580">
              <w:rPr>
                <w:sz w:val="22"/>
              </w:rPr>
              <w:t>five year</w:t>
            </w:r>
            <w:proofErr w:type="gramEnd"/>
            <w:r w:rsidR="00F71580">
              <w:rPr>
                <w:sz w:val="22"/>
              </w:rPr>
              <w:t xml:space="preserve"> groups </w:t>
            </w:r>
            <w:r>
              <w:rPr>
                <w:sz w:val="22"/>
              </w:rPr>
              <w:t xml:space="preserve">show a </w:t>
            </w:r>
            <w:r w:rsidR="00F71580">
              <w:rPr>
                <w:sz w:val="22"/>
              </w:rPr>
              <w:t xml:space="preserve">particular </w:t>
            </w:r>
            <w:r>
              <w:rPr>
                <w:sz w:val="22"/>
              </w:rPr>
              <w:t>vulnerability to underachievement</w:t>
            </w:r>
            <w:r w:rsidR="00F71580">
              <w:rPr>
                <w:sz w:val="22"/>
              </w:rPr>
              <w:t xml:space="preserve">, These fifty students are our Spotlight students.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1/2/4</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uppressAutoHyphens w:val="0"/>
              <w:autoSpaceDE w:val="0"/>
              <w:spacing w:after="0" w:line="240" w:lineRule="auto"/>
            </w:pPr>
            <w:r w:rsidRPr="00343503">
              <w:t>Prioritisation of DA in teaching groups through thoughtful seating plans and marking procedures</w:t>
            </w:r>
          </w:p>
          <w:p w:rsidR="00E66558" w:rsidRPr="00343503" w:rsidRDefault="00E66558">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71580">
            <w:pPr>
              <w:pStyle w:val="TableRowCentered"/>
              <w:jc w:val="left"/>
              <w:rPr>
                <w:sz w:val="22"/>
              </w:rPr>
            </w:pPr>
            <w:r>
              <w:rPr>
                <w:sz w:val="22"/>
              </w:rPr>
              <w:t xml:space="preserve">Evidence from the EEW indicates that well-considered seating plans and the prioritisation of marking and more immediate feedback can have a significant effect on the engagement and motivation of Pupil Premium students. Internal research at THS conducted with a group of Pupil Premium students in 2018-19 would corroborate this evidence and has therefore been adopted as a key strategy this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1/2/4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hd w:val="clear" w:color="auto" w:fill="FFFFFF" w:themeFill="background1"/>
              <w:suppressAutoHyphens w:val="0"/>
              <w:autoSpaceDE w:val="0"/>
              <w:spacing w:after="0" w:line="240" w:lineRule="auto"/>
            </w:pPr>
            <w:r w:rsidRPr="00343503">
              <w:t xml:space="preserve">Whole staff re-focus on effective feedback made more immediate through increased flash marking </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7" w:history="1">
              <w:r w:rsidR="0014302C" w:rsidRPr="002E1734">
                <w:rPr>
                  <w:rStyle w:val="Hyperlink"/>
                  <w:sz w:val="22"/>
                </w:rPr>
                <w:t>https://educationendowmentfoundation.org.uk/education-evidence/teaching-learning-toolkit</w:t>
              </w:r>
            </w:hyperlink>
            <w:r w:rsidR="0014302C">
              <w:rPr>
                <w:sz w:val="22"/>
              </w:rPr>
              <w:t xml:space="preserv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hd w:val="clear" w:color="auto" w:fill="FFFFFF" w:themeFill="background1"/>
              <w:suppressAutoHyphens w:val="0"/>
              <w:autoSpaceDE w:val="0"/>
              <w:spacing w:after="0" w:line="240" w:lineRule="auto"/>
            </w:pPr>
            <w:r w:rsidRPr="00343503">
              <w:t>Whole staff re-focus on effective learning objectives and questioning</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8" w:history="1">
              <w:r w:rsidR="0014302C" w:rsidRPr="002E1734">
                <w:rPr>
                  <w:rStyle w:val="Hyperlink"/>
                  <w:sz w:val="22"/>
                </w:rPr>
                <w:t>https://educationendowmentfoundation.org.uk/education-evidence/teaching-learning-toolkit</w:t>
              </w:r>
            </w:hyperlink>
            <w:r w:rsidR="0014302C">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uppressAutoHyphens w:val="0"/>
              <w:autoSpaceDE w:val="0"/>
              <w:spacing w:after="0" w:line="240" w:lineRule="auto"/>
            </w:pPr>
            <w:r w:rsidRPr="00343503">
              <w:t>Sustained parental communication by tutors and class teachers, addressing barriers to learning for DA students</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9" w:history="1">
              <w:r w:rsidR="0014302C" w:rsidRPr="002E1734">
                <w:rPr>
                  <w:rStyle w:val="Hyperlink"/>
                  <w:sz w:val="22"/>
                </w:rPr>
                <w:t>https://educationendowmentfoundation.org.uk/education-evidence/teaching-learning-toolkit</w:t>
              </w:r>
            </w:hyperlink>
            <w:r w:rsidR="0014302C">
              <w:rPr>
                <w:sz w:val="22"/>
              </w:rPr>
              <w:t xml:space="preserve">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1/2/4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uppressAutoHyphens w:val="0"/>
              <w:autoSpaceDE w:val="0"/>
              <w:spacing w:after="0" w:line="240" w:lineRule="auto"/>
            </w:pPr>
            <w:r w:rsidRPr="00343503">
              <w:t>Application of ABC challenge for DA MAT students</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0" w:history="1">
              <w:r w:rsidR="005E5455" w:rsidRPr="002E1734">
                <w:rPr>
                  <w:rStyle w:val="Hyperlink"/>
                  <w:sz w:val="22"/>
                </w:rPr>
                <w:t>https://educationendowmentfoundation.org.uk/education-evidence/teaching-learning-toolkit</w:t>
              </w:r>
            </w:hyperlink>
            <w:r w:rsidR="004D1EFE">
              <w:rPr>
                <w:sz w:val="22"/>
              </w:rPr>
              <w:t xml:space="preserve"> (mastery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F62EAE">
            <w:pPr>
              <w:widowControl w:val="0"/>
              <w:suppressAutoHyphens w:val="0"/>
              <w:autoSpaceDE w:val="0"/>
              <w:spacing w:after="0" w:line="240" w:lineRule="auto"/>
            </w:pPr>
            <w:r w:rsidRPr="00343503">
              <w:t>CPD programme-sustained and scaffolded to meet DA SIP priorities</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F71580">
            <w:pPr>
              <w:pStyle w:val="TableRowCentered"/>
              <w:jc w:val="left"/>
              <w:rPr>
                <w:sz w:val="22"/>
              </w:rPr>
            </w:pPr>
            <w:r>
              <w:rPr>
                <w:sz w:val="22"/>
              </w:rPr>
              <w:t>All staff have attended</w:t>
            </w:r>
            <w:r w:rsidR="00126B8F">
              <w:rPr>
                <w:sz w:val="22"/>
              </w:rPr>
              <w:t xml:space="preserve"> CPD </w:t>
            </w:r>
            <w:r w:rsidR="00CA5825">
              <w:rPr>
                <w:sz w:val="22"/>
              </w:rPr>
              <w:t xml:space="preserve">session during the </w:t>
            </w:r>
            <w:r w:rsidR="00126B8F">
              <w:rPr>
                <w:sz w:val="22"/>
              </w:rPr>
              <w:t>Autumn term</w:t>
            </w:r>
            <w:r w:rsidR="00CA5825">
              <w:rPr>
                <w:sz w:val="22"/>
              </w:rPr>
              <w:t xml:space="preserve"> to consider the tiered model for Pupil Premium planning for 2021-22.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F62EAE">
            <w:pPr>
              <w:pStyle w:val="TableRowCentered"/>
              <w:jc w:val="left"/>
              <w:rPr>
                <w:sz w:val="22"/>
              </w:rPr>
            </w:pP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F62EAE" w:rsidP="001C343C">
            <w:pPr>
              <w:widowControl w:val="0"/>
              <w:suppressAutoHyphens w:val="0"/>
              <w:autoSpaceDE w:val="0"/>
              <w:spacing w:after="0" w:line="240" w:lineRule="auto"/>
            </w:pPr>
            <w:r w:rsidRPr="00343503">
              <w:t>Knowledge organisers for all year groups</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1" w:history="1">
              <w:r w:rsidR="005E5455" w:rsidRPr="002E1734">
                <w:rPr>
                  <w:rStyle w:val="Hyperlink"/>
                  <w:sz w:val="22"/>
                </w:rPr>
                <w:t>https://educationendowmentfoundation.org.uk/education-evidence/teaching-learning-toolkit</w:t>
              </w:r>
            </w:hyperlink>
            <w:r w:rsidR="005E5455">
              <w:rPr>
                <w:sz w:val="22"/>
              </w:rPr>
              <w:t xml:space="preserve"> </w:t>
            </w:r>
            <w:r w:rsidR="004D1EFE">
              <w:rPr>
                <w:sz w:val="22"/>
              </w:rPr>
              <w:t>(metacognition and self-regulation)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 xml:space="preserve">Use of regular assessment to ensure DA students experience success and celebrate the acquisition of key constructs </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EFE" w:rsidRDefault="00DE1771" w:rsidP="004D1EFE">
            <w:pPr>
              <w:pStyle w:val="TableRowCentered"/>
              <w:spacing w:before="0"/>
              <w:jc w:val="left"/>
              <w:rPr>
                <w:sz w:val="22"/>
              </w:rPr>
            </w:pPr>
            <w:hyperlink r:id="rId12" w:history="1">
              <w:r w:rsidR="004D1EFE" w:rsidRPr="002E1734">
                <w:rPr>
                  <w:rStyle w:val="Hyperlink"/>
                  <w:sz w:val="22"/>
                </w:rPr>
                <w:t>https://educationendowmentfoundation.org.uk/education-evidence/evidence-reviews/attainment-measures-in-literacy-mathematics-and-science</w:t>
              </w:r>
            </w:hyperlink>
            <w:r w:rsidR="004D1EFE">
              <w:rPr>
                <w:sz w:val="22"/>
              </w:rPr>
              <w:t xml:space="preserve"> </w:t>
            </w:r>
            <w:r w:rsidR="004D1EFE" w:rsidRPr="004D1EFE">
              <w:rPr>
                <w:sz w:val="22"/>
                <w:szCs w:val="22"/>
              </w:rPr>
              <w:t>(A systematic review of standardised measures of attainment in literacy, mathematics, and science)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1/2/4</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 xml:space="preserve">Actions for underachieving DA students to be identified in action column of Go4S </w:t>
            </w:r>
            <w:proofErr w:type="spellStart"/>
            <w:r w:rsidRPr="00343503">
              <w:t>markbook</w:t>
            </w:r>
            <w:proofErr w:type="spellEnd"/>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3" w:history="1">
              <w:r w:rsidR="0096623C" w:rsidRPr="002E1734">
                <w:rPr>
                  <w:rStyle w:val="Hyperlink"/>
                  <w:sz w:val="22"/>
                </w:rPr>
                <w:t>https://educationendowmentfoundation.org.uk/education-evidence/teaching-learning-toolkit</w:t>
              </w:r>
            </w:hyperlink>
            <w:r w:rsidR="0096623C">
              <w:rPr>
                <w:sz w:val="22"/>
              </w:rPr>
              <w:t xml:space="preserve"> (Individualised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1</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w:t>
      </w:r>
      <w:r w:rsidRPr="000A45C7">
        <w:rPr>
          <w:b/>
        </w:rPr>
        <w:t>£</w:t>
      </w:r>
      <w:r w:rsidR="00C015A4" w:rsidRPr="000A45C7">
        <w:rPr>
          <w:b/>
          <w:iCs/>
        </w:rPr>
        <w:t>90,875</w:t>
      </w:r>
    </w:p>
    <w:tbl>
      <w:tblPr>
        <w:tblW w:w="5000" w:type="pct"/>
        <w:tblCellMar>
          <w:left w:w="10" w:type="dxa"/>
          <w:right w:w="10" w:type="dxa"/>
        </w:tblCellMar>
        <w:tblLook w:val="04A0" w:firstRow="1" w:lastRow="0" w:firstColumn="1" w:lastColumn="0" w:noHBand="0" w:noVBand="1"/>
      </w:tblPr>
      <w:tblGrid>
        <w:gridCol w:w="1941"/>
        <w:gridCol w:w="5871"/>
        <w:gridCol w:w="1674"/>
      </w:tblGrid>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Literacy and numeracy intervention-Year 7/8 student catch up</w:t>
            </w:r>
          </w:p>
          <w:p w:rsidR="00E66558" w:rsidRPr="00343503" w:rsidRDefault="00E66558">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E1771">
            <w:pPr>
              <w:pStyle w:val="TableRowCentered"/>
              <w:jc w:val="left"/>
              <w:rPr>
                <w:sz w:val="22"/>
              </w:rPr>
            </w:pPr>
            <w:hyperlink r:id="rId14" w:history="1">
              <w:r w:rsidR="005E5455" w:rsidRPr="002E1734">
                <w:rPr>
                  <w:rStyle w:val="Hyperlink"/>
                  <w:sz w:val="22"/>
                </w:rPr>
                <w:t>https://educationendowmentfoundation.org.uk/education-evidence/teaching-learning-toolkit</w:t>
              </w:r>
            </w:hyperlink>
            <w:r w:rsidR="005E5455">
              <w:rPr>
                <w:sz w:val="22"/>
              </w:rPr>
              <w:t xml:space="preserve"> (small group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1</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Year 7 nurture group</w:t>
            </w:r>
          </w:p>
          <w:p w:rsidR="00E66558" w:rsidRPr="00343503" w:rsidRDefault="00E66558">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E1771">
            <w:pPr>
              <w:pStyle w:val="TableRowCentered"/>
              <w:jc w:val="left"/>
              <w:rPr>
                <w:sz w:val="22"/>
              </w:rPr>
            </w:pPr>
            <w:hyperlink r:id="rId15" w:history="1">
              <w:r w:rsidR="0014302C" w:rsidRPr="002E1734">
                <w:rPr>
                  <w:rStyle w:val="Hyperlink"/>
                  <w:sz w:val="22"/>
                </w:rPr>
                <w:t>https://educationendowmentfoundation.org.uk/education-evidence/teaching-learning-toolkit</w:t>
              </w:r>
            </w:hyperlink>
            <w:r w:rsidR="0014302C">
              <w:rPr>
                <w:sz w:val="22"/>
              </w:rPr>
              <w:t xml:space="preserve"> (small group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1</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Pr="00343503" w:rsidRDefault="001C343C">
            <w:pPr>
              <w:pStyle w:val="TableRow"/>
              <w:rPr>
                <w:i/>
              </w:rPr>
            </w:pPr>
            <w:r w:rsidRPr="00343503">
              <w:t xml:space="preserve">DA tutor mentoring and Spotlight programmes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6" w:history="1">
              <w:r w:rsidR="0096623C" w:rsidRPr="002E1734">
                <w:rPr>
                  <w:rStyle w:val="Hyperlink"/>
                  <w:sz w:val="22"/>
                </w:rPr>
                <w:t>https://educationendowmentfoundation.org.uk/education-evidence/teaching-learning-toolkit</w:t>
              </w:r>
            </w:hyperlink>
            <w:r w:rsidR="0096623C">
              <w:rPr>
                <w:sz w:val="22"/>
              </w:rPr>
              <w:t xml:space="preserve"> (Mentoring)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5</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proofErr w:type="spellStart"/>
            <w:r w:rsidRPr="00343503">
              <w:t>Yr</w:t>
            </w:r>
            <w:proofErr w:type="spellEnd"/>
            <w:r w:rsidRPr="00343503">
              <w:t xml:space="preserve"> 10- </w:t>
            </w:r>
            <w:proofErr w:type="spellStart"/>
            <w:r w:rsidRPr="00343503">
              <w:t>Yr</w:t>
            </w:r>
            <w:proofErr w:type="spellEnd"/>
            <w:r w:rsidRPr="00343503">
              <w:t xml:space="preserve"> 8 Supported reading scheme-Autumn 2</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7" w:history="1">
              <w:r w:rsidR="0014302C" w:rsidRPr="002E1734">
                <w:rPr>
                  <w:rStyle w:val="Hyperlink"/>
                  <w:sz w:val="22"/>
                </w:rPr>
                <w:t>https://educationendowmentfoundation.org.uk/education-evidence/teaching-learning-toolkit</w:t>
              </w:r>
            </w:hyperlink>
            <w:r w:rsidR="0014302C">
              <w:rPr>
                <w:sz w:val="22"/>
              </w:rPr>
              <w:t xml:space="preserve"> (Peer tutoring)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2</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Words of the Week (WOW)-Tier 2/3 language development and comprehension</w:t>
            </w:r>
          </w:p>
          <w:p w:rsidR="00F62EAE" w:rsidRPr="00343503" w:rsidRDefault="00F62EAE">
            <w:pPr>
              <w:pStyle w:val="TableRow"/>
              <w:rPr>
                <w:b/>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8" w:history="1">
              <w:r w:rsidR="0014302C" w:rsidRPr="002E1734">
                <w:rPr>
                  <w:rStyle w:val="Hyperlink"/>
                  <w:sz w:val="22"/>
                </w:rPr>
                <w:t>https://educationendowmentfoundation.org.uk/education-evidence/teaching-learning-toolkit</w:t>
              </w:r>
            </w:hyperlink>
            <w:r w:rsidR="0014302C">
              <w:rPr>
                <w:sz w:val="22"/>
              </w:rPr>
              <w:t xml:space="preserve"> (oral language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2</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KS3/4 Maths and English intervention</w:t>
            </w:r>
          </w:p>
          <w:p w:rsidR="00F62EAE" w:rsidRPr="00343503" w:rsidRDefault="00F62EAE">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19" w:history="1">
              <w:r w:rsidR="009A339F" w:rsidRPr="002E1734">
                <w:rPr>
                  <w:rStyle w:val="Hyperlink"/>
                  <w:sz w:val="22"/>
                </w:rPr>
                <w:t>https://educationendowmentfoundation.org.uk/education-evidence/teaching-learning-toolkit</w:t>
              </w:r>
            </w:hyperlink>
            <w:r w:rsidR="009A339F">
              <w:rPr>
                <w:sz w:val="22"/>
              </w:rPr>
              <w:t xml:space="preserve"> (small group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1/4</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w:t>
      </w:r>
      <w:r w:rsidRPr="00C015A4">
        <w:rPr>
          <w:b/>
        </w:rPr>
        <w:t>£</w:t>
      </w:r>
      <w:r w:rsidR="00C015A4" w:rsidRPr="00C015A4">
        <w:rPr>
          <w:b/>
        </w:rPr>
        <w:t>90,875</w:t>
      </w:r>
    </w:p>
    <w:tbl>
      <w:tblPr>
        <w:tblW w:w="5000" w:type="pct"/>
        <w:tblCellMar>
          <w:left w:w="10" w:type="dxa"/>
          <w:right w:w="10" w:type="dxa"/>
        </w:tblCellMar>
        <w:tblLook w:val="04A0" w:firstRow="1" w:lastRow="0" w:firstColumn="1" w:lastColumn="0" w:noHBand="0" w:noVBand="1"/>
      </w:tblPr>
      <w:tblGrid>
        <w:gridCol w:w="1816"/>
        <w:gridCol w:w="5871"/>
        <w:gridCol w:w="1799"/>
      </w:tblGrid>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Mental Health Practitioner-personal and group sessions focussing on anxiety, grief and self-esteem</w:t>
            </w:r>
          </w:p>
          <w:p w:rsidR="00E66558" w:rsidRPr="00343503" w:rsidRDefault="00E66558">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5455" w:rsidRDefault="00DE1771" w:rsidP="005E5455">
            <w:pPr>
              <w:pStyle w:val="TableRowCentered"/>
              <w:ind w:left="0"/>
              <w:jc w:val="left"/>
              <w:rPr>
                <w:sz w:val="22"/>
                <w:szCs w:val="22"/>
              </w:rPr>
            </w:pPr>
            <w:hyperlink r:id="rId20" w:history="1">
              <w:r w:rsidR="005E5455" w:rsidRPr="005E5455">
                <w:rPr>
                  <w:rStyle w:val="Hyperlink"/>
                  <w:rFonts w:cs="Arial"/>
                  <w:sz w:val="22"/>
                  <w:szCs w:val="22"/>
                  <w:shd w:val="clear" w:color="auto" w:fill="FFFFFF"/>
                </w:rPr>
                <w:t>https://educationendowmentfoundation.org.uk/support-for-schools/school-improvement-planning/3-wider-strategies</w:t>
              </w:r>
            </w:hyperlink>
            <w:r w:rsidR="005E5455" w:rsidRPr="005E5455">
              <w:rPr>
                <w:sz w:val="22"/>
                <w:szCs w:val="22"/>
              </w:rPr>
              <w:t xml:space="preserve"> </w:t>
            </w:r>
            <w:r w:rsidR="005E5455">
              <w:rPr>
                <w:sz w:val="22"/>
                <w:szCs w:val="22"/>
              </w:rPr>
              <w:t>(</w:t>
            </w:r>
            <w:r w:rsidR="005E5455" w:rsidRPr="005E5455">
              <w:rPr>
                <w:sz w:val="22"/>
                <w:szCs w:val="22"/>
              </w:rPr>
              <w:t>Social and Emotional Learning, Well-being and Mental Health</w:t>
            </w:r>
            <w:r w:rsidR="005E5455">
              <w:rPr>
                <w:sz w:val="22"/>
                <w:szCs w:val="22"/>
              </w:rPr>
              <w:t>)</w:t>
            </w:r>
          </w:p>
          <w:p w:rsidR="00E66558" w:rsidRPr="005E5455" w:rsidRDefault="000953BE" w:rsidP="005E5455">
            <w:pPr>
              <w:pStyle w:val="TableRowCentered"/>
              <w:ind w:left="0"/>
              <w:jc w:val="left"/>
              <w:rPr>
                <w:rFonts w:cs="Arial"/>
                <w:color w:val="263238"/>
                <w:sz w:val="22"/>
                <w:szCs w:val="22"/>
                <w:shd w:val="clear" w:color="auto" w:fill="FFFFFF"/>
              </w:rPr>
            </w:pPr>
            <w:r w:rsidRPr="005E5455">
              <w:rPr>
                <w:rFonts w:cs="Arial"/>
                <w:color w:val="263238"/>
                <w:sz w:val="22"/>
                <w:szCs w:val="22"/>
                <w:shd w:val="clear" w:color="auto" w:fill="FFFFFF"/>
              </w:rPr>
              <w:t xml:space="preserve">Social and emotional </w:t>
            </w:r>
            <w:proofErr w:type="gramStart"/>
            <w:r w:rsidRPr="005E5455">
              <w:rPr>
                <w:rFonts w:cs="Arial"/>
                <w:color w:val="263238"/>
                <w:sz w:val="22"/>
                <w:szCs w:val="22"/>
                <w:shd w:val="clear" w:color="auto" w:fill="FFFFFF"/>
              </w:rPr>
              <w:t>skills’</w:t>
            </w:r>
            <w:proofErr w:type="gramEnd"/>
            <w:r w:rsidRPr="005E5455">
              <w:rPr>
                <w:rFonts w:cs="Arial"/>
                <w:color w:val="263238"/>
                <w:sz w:val="22"/>
                <w:szCs w:val="22"/>
                <w:shd w:val="clear" w:color="auto" w:fill="FFFFFF"/>
              </w:rPr>
              <w:t xml:space="preserve"> are essential for children’s development— they support effective learning and are linked to positive outcomes in later life. With the right support, children learn to articulate and manage their emotions, deal with conflict, solve problems, understand things from another person’s perspective, and communicate in appropriate ways.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5</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Attendance weekly snapshot monitoring by tutors</w:t>
            </w:r>
          </w:p>
          <w:p w:rsidR="00F62EAE" w:rsidRPr="00343503" w:rsidRDefault="00F62EAE">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21" w:history="1">
              <w:r w:rsidR="0014302C" w:rsidRPr="002E1734">
                <w:rPr>
                  <w:rStyle w:val="Hyperlink"/>
                  <w:sz w:val="22"/>
                </w:rPr>
                <w:t>https://educationendowmentfoundation.org.uk/education-evidence/teaching-learning-toolkit</w:t>
              </w:r>
            </w:hyperlink>
            <w:r w:rsidR="0014302C">
              <w:rPr>
                <w:sz w:val="22"/>
              </w:rPr>
              <w:t xml:space="preserve">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3</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Increased parental communication by tutors to address barriers to learning for DA students</w:t>
            </w:r>
          </w:p>
          <w:p w:rsidR="00F62EAE" w:rsidRPr="00343503" w:rsidRDefault="00F62EAE">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707C88">
            <w:pPr>
              <w:pStyle w:val="TableRowCentered"/>
              <w:jc w:val="left"/>
              <w:rPr>
                <w:sz w:val="22"/>
              </w:rPr>
            </w:pPr>
            <w:r>
              <w:rPr>
                <w:sz w:val="22"/>
              </w:rPr>
              <w:t>Data dashboard weekly data shows direct links between increased rates of attendance and fewer negative behaviour points of those tutors regularly liaising with parents via phone and email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3</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Prioritisation of DA parental contact to engage in parents’ evenings and specific year group events</w:t>
            </w:r>
          </w:p>
          <w:p w:rsidR="00F62EAE" w:rsidRPr="00343503" w:rsidRDefault="00F62EAE">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DE1771">
            <w:pPr>
              <w:pStyle w:val="TableRowCentered"/>
              <w:jc w:val="left"/>
              <w:rPr>
                <w:sz w:val="22"/>
              </w:rPr>
            </w:pPr>
            <w:hyperlink r:id="rId22" w:history="1">
              <w:r w:rsidR="0014302C" w:rsidRPr="002E1734">
                <w:rPr>
                  <w:rStyle w:val="Hyperlink"/>
                  <w:sz w:val="22"/>
                </w:rPr>
                <w:t>https://educationendowmentfoundation.org.uk/education-evidence/teaching-learning-toolkit</w:t>
              </w:r>
            </w:hyperlink>
            <w:r w:rsidR="0014302C">
              <w:rPr>
                <w:sz w:val="22"/>
              </w:rPr>
              <w:t xml:space="preserve">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3</w:t>
            </w:r>
          </w:p>
        </w:tc>
      </w:tr>
      <w:tr w:rsidR="00F62EAE"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Attendance clinics-early intervention for DA students</w:t>
            </w:r>
          </w:p>
          <w:p w:rsidR="00F62EAE" w:rsidRPr="00343503" w:rsidRDefault="00F62EAE">
            <w:pPr>
              <w:pStyle w:val="TableRow"/>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707C88">
            <w:pPr>
              <w:pStyle w:val="TableRowCentered"/>
              <w:jc w:val="left"/>
              <w:rPr>
                <w:sz w:val="22"/>
              </w:rPr>
            </w:pPr>
            <w:r>
              <w:rPr>
                <w:sz w:val="22"/>
              </w:rPr>
              <w:t>Increased attendance rates two and four weeks later (on average 8% greater in Years 10 and 11) of students who attended the attendance clinics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EAE" w:rsidRDefault="00C829CB">
            <w:pPr>
              <w:pStyle w:val="TableRowCentered"/>
              <w:jc w:val="left"/>
              <w:rPr>
                <w:sz w:val="22"/>
              </w:rPr>
            </w:pPr>
            <w:r>
              <w:rPr>
                <w:sz w:val="22"/>
              </w:rPr>
              <w:t>3</w:t>
            </w:r>
          </w:p>
        </w:tc>
      </w:tr>
      <w:tr w:rsidR="00E66558" w:rsidTr="0034350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43C" w:rsidRPr="00343503" w:rsidRDefault="001C343C" w:rsidP="001C343C">
            <w:pPr>
              <w:widowControl w:val="0"/>
              <w:suppressAutoHyphens w:val="0"/>
              <w:autoSpaceDE w:val="0"/>
              <w:spacing w:after="0" w:line="240" w:lineRule="auto"/>
            </w:pPr>
            <w:r w:rsidRPr="00343503">
              <w:t>Ongoing provision of technology for DA students if required</w:t>
            </w:r>
          </w:p>
          <w:p w:rsidR="00E66558" w:rsidRPr="00343503" w:rsidRDefault="00E66558">
            <w:pPr>
              <w:pStyle w:val="TableRow"/>
              <w:rPr>
                <w:i/>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E1771">
            <w:pPr>
              <w:pStyle w:val="TableRowCentered"/>
              <w:jc w:val="left"/>
              <w:rPr>
                <w:sz w:val="22"/>
              </w:rPr>
            </w:pPr>
            <w:hyperlink r:id="rId23" w:history="1">
              <w:r w:rsidR="00C938FA" w:rsidRPr="002E1734">
                <w:rPr>
                  <w:rStyle w:val="Hyperlink"/>
                  <w:sz w:val="22"/>
                </w:rPr>
                <w:t>https://educationendowmentfoundation.org.uk/education-evidence/evidence-reviews/remote-learning-for-pupils</w:t>
              </w:r>
            </w:hyperlink>
            <w:r w:rsidR="00C938FA">
              <w:rPr>
                <w:sz w:val="22"/>
              </w:rPr>
              <w:t xml:space="preserve"> (remote learning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829CB">
            <w:pPr>
              <w:pStyle w:val="TableRowCentered"/>
              <w:jc w:val="left"/>
              <w:rPr>
                <w:sz w:val="22"/>
              </w:rPr>
            </w:pPr>
            <w:r>
              <w:rPr>
                <w:sz w:val="22"/>
              </w:rPr>
              <w:t>3</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w:t>
      </w:r>
      <w:r w:rsidRPr="000A45C7">
        <w:rPr>
          <w:b/>
          <w:bCs/>
          <w:color w:val="104F75"/>
          <w:sz w:val="28"/>
          <w:szCs w:val="28"/>
        </w:rPr>
        <w:t>£</w:t>
      </w:r>
      <w:r w:rsidR="000A45C7" w:rsidRPr="000A45C7">
        <w:rPr>
          <w:b/>
          <w:bCs/>
          <w:color w:val="104F75"/>
          <w:sz w:val="28"/>
          <w:szCs w:val="28"/>
        </w:rPr>
        <w:t>363,500</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w:t>
      </w:r>
      <w:r w:rsidR="00533806">
        <w:t>students</w:t>
      </w:r>
      <w:r>
        <w:t xml:space="preserve"> in the 2020 to 2021 academic year. </w:t>
      </w:r>
      <w:r w:rsidR="002F6994">
        <w:t xml:space="preserve">The impact has been RAG rated below. Statistics have been provided where </w:t>
      </w:r>
    </w:p>
    <w:tbl>
      <w:tblPr>
        <w:tblW w:w="9808" w:type="dxa"/>
        <w:tblCellMar>
          <w:left w:w="10" w:type="dxa"/>
          <w:right w:w="10" w:type="dxa"/>
        </w:tblCellMar>
        <w:tblLook w:val="04A0" w:firstRow="1" w:lastRow="0" w:firstColumn="1" w:lastColumn="0" w:noHBand="0" w:noVBand="1"/>
      </w:tblPr>
      <w:tblGrid>
        <w:gridCol w:w="9808"/>
      </w:tblGrid>
      <w:tr w:rsidR="00E66558" w:rsidTr="0059137F">
        <w:trPr>
          <w:trHeight w:val="300"/>
        </w:trPr>
        <w:tc>
          <w:tcPr>
            <w:tcW w:w="9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5A15" w:rsidRPr="00343503" w:rsidRDefault="006A5A15" w:rsidP="006A5A15">
            <w:pPr>
              <w:rPr>
                <w:rFonts w:cs="Arial"/>
                <w:b/>
                <w:u w:val="single"/>
              </w:rPr>
            </w:pPr>
            <w:r w:rsidRPr="00343503">
              <w:rPr>
                <w:rFonts w:cs="Arial"/>
                <w:b/>
                <w:u w:val="single"/>
              </w:rPr>
              <w:t>Objective 1: Increase access to teacher guidance, technology and learning materials</w:t>
            </w:r>
          </w:p>
          <w:p w:rsidR="006A5A15" w:rsidRPr="002255B6" w:rsidRDefault="006A5A15" w:rsidP="00A508BA">
            <w:pPr>
              <w:pStyle w:val="ListParagraph"/>
              <w:rPr>
                <w:highlight w:val="green"/>
              </w:rPr>
            </w:pPr>
            <w:r w:rsidRPr="002255B6">
              <w:rPr>
                <w:highlight w:val="green"/>
              </w:rPr>
              <w:t>Staff Development-Google Classroom</w:t>
            </w:r>
            <w:r w:rsidR="00C01672">
              <w:rPr>
                <w:highlight w:val="green"/>
              </w:rPr>
              <w:t xml:space="preserve"> training</w:t>
            </w:r>
            <w:r w:rsidRPr="002255B6">
              <w:rPr>
                <w:highlight w:val="green"/>
              </w:rPr>
              <w:t>- 3 x CPD training sessions completed</w:t>
            </w:r>
            <w:r w:rsidR="00C01672">
              <w:rPr>
                <w:highlight w:val="green"/>
              </w:rPr>
              <w:t xml:space="preserve"> by all staff</w:t>
            </w:r>
          </w:p>
          <w:p w:rsidR="006A5A15" w:rsidRPr="002255B6" w:rsidRDefault="006A5A15" w:rsidP="00A508BA">
            <w:pPr>
              <w:pStyle w:val="ListParagraph"/>
              <w:rPr>
                <w:highlight w:val="green"/>
              </w:rPr>
            </w:pPr>
            <w:r w:rsidRPr="002255B6">
              <w:rPr>
                <w:highlight w:val="green"/>
              </w:rPr>
              <w:t>Maths intervention tutor</w:t>
            </w:r>
            <w:r w:rsidR="0057420E">
              <w:rPr>
                <w:highlight w:val="green"/>
              </w:rPr>
              <w:t xml:space="preserve"> </w:t>
            </w:r>
            <w:r w:rsidR="002F6994">
              <w:rPr>
                <w:highlight w:val="green"/>
              </w:rPr>
              <w:t>accessed by 53 Year 11 students</w:t>
            </w:r>
          </w:p>
          <w:p w:rsidR="006A5A15" w:rsidRPr="002255B6" w:rsidRDefault="006A5A15" w:rsidP="00A508BA">
            <w:pPr>
              <w:pStyle w:val="ListParagraph"/>
              <w:rPr>
                <w:highlight w:val="green"/>
              </w:rPr>
            </w:pPr>
            <w:r w:rsidRPr="002255B6">
              <w:rPr>
                <w:highlight w:val="green"/>
              </w:rPr>
              <w:t>English intervention tutor</w:t>
            </w:r>
            <w:r w:rsidR="002F6994">
              <w:rPr>
                <w:highlight w:val="green"/>
              </w:rPr>
              <w:t xml:space="preserve"> </w:t>
            </w:r>
            <w:r w:rsidR="00C01672">
              <w:rPr>
                <w:highlight w:val="green"/>
              </w:rPr>
              <w:t>accessed by</w:t>
            </w:r>
            <w:r w:rsidR="002F6994">
              <w:rPr>
                <w:highlight w:val="green"/>
              </w:rPr>
              <w:t xml:space="preserve"> 57 Year 11 students</w:t>
            </w:r>
          </w:p>
          <w:p w:rsidR="006A5A15" w:rsidRPr="002255B6" w:rsidRDefault="006A5A15" w:rsidP="00A508BA">
            <w:pPr>
              <w:pStyle w:val="ListParagraph"/>
              <w:rPr>
                <w:highlight w:val="green"/>
              </w:rPr>
            </w:pPr>
            <w:r w:rsidRPr="002255B6">
              <w:rPr>
                <w:highlight w:val="green"/>
              </w:rPr>
              <w:t>Knowledge Organisers</w:t>
            </w:r>
            <w:r w:rsidR="00C01672">
              <w:rPr>
                <w:highlight w:val="green"/>
              </w:rPr>
              <w:t xml:space="preserve">-provided to all students in Years 7-11  </w:t>
            </w:r>
          </w:p>
          <w:p w:rsidR="006A5A15" w:rsidRPr="002255B6" w:rsidRDefault="006A5A15" w:rsidP="00A508BA">
            <w:pPr>
              <w:pStyle w:val="ListParagraph"/>
              <w:rPr>
                <w:highlight w:val="green"/>
              </w:rPr>
            </w:pPr>
            <w:r w:rsidRPr="002255B6">
              <w:rPr>
                <w:highlight w:val="green"/>
              </w:rPr>
              <w:t xml:space="preserve">Revision guides for core subjects provided to all </w:t>
            </w:r>
            <w:r w:rsidR="00C01672">
              <w:rPr>
                <w:highlight w:val="green"/>
              </w:rPr>
              <w:t xml:space="preserve">Year 11 </w:t>
            </w:r>
            <w:r w:rsidRPr="002255B6">
              <w:rPr>
                <w:highlight w:val="green"/>
              </w:rPr>
              <w:t>DA students</w:t>
            </w:r>
          </w:p>
          <w:p w:rsidR="004C7D41" w:rsidRPr="002255B6" w:rsidRDefault="004C7D41" w:rsidP="00A508BA">
            <w:pPr>
              <w:pStyle w:val="ListParagraph"/>
              <w:rPr>
                <w:highlight w:val="green"/>
              </w:rPr>
            </w:pPr>
            <w:r w:rsidRPr="002255B6">
              <w:rPr>
                <w:highlight w:val="green"/>
              </w:rPr>
              <w:t>Intervention Year 7-Secondary Ready</w:t>
            </w:r>
            <w:r w:rsidR="00C01672">
              <w:rPr>
                <w:highlight w:val="green"/>
              </w:rPr>
              <w:t>-accessed by 43 Year 7 students</w:t>
            </w:r>
          </w:p>
          <w:p w:rsidR="004C7D41" w:rsidRPr="002255B6" w:rsidRDefault="004C7D41" w:rsidP="00A508BA">
            <w:pPr>
              <w:pStyle w:val="ListParagraph"/>
              <w:rPr>
                <w:highlight w:val="green"/>
              </w:rPr>
            </w:pPr>
            <w:r w:rsidRPr="002255B6">
              <w:rPr>
                <w:highlight w:val="green"/>
              </w:rPr>
              <w:t>Read Write Gold literacy programme support</w:t>
            </w:r>
            <w:r w:rsidR="00C01672">
              <w:rPr>
                <w:highlight w:val="green"/>
              </w:rPr>
              <w:t>- accessed by 23 students</w:t>
            </w:r>
          </w:p>
          <w:p w:rsidR="004C7D41" w:rsidRPr="002255B6" w:rsidRDefault="004C7D41" w:rsidP="00A508BA">
            <w:pPr>
              <w:pStyle w:val="ListParagraph"/>
              <w:rPr>
                <w:highlight w:val="green"/>
              </w:rPr>
            </w:pPr>
            <w:r w:rsidRPr="002255B6">
              <w:rPr>
                <w:highlight w:val="green"/>
              </w:rPr>
              <w:t>Provision of laptops and dongles for remote learning-138 laptops supplied</w:t>
            </w:r>
          </w:p>
          <w:p w:rsidR="004C7D41" w:rsidRPr="002255B6" w:rsidRDefault="004C7D41" w:rsidP="00A508BA">
            <w:pPr>
              <w:pStyle w:val="ListParagraph"/>
              <w:rPr>
                <w:highlight w:val="green"/>
              </w:rPr>
            </w:pPr>
            <w:r w:rsidRPr="002255B6">
              <w:rPr>
                <w:highlight w:val="green"/>
              </w:rPr>
              <w:t xml:space="preserve">Access to GCSE Pod, Bitesize, </w:t>
            </w:r>
            <w:proofErr w:type="spellStart"/>
            <w:r w:rsidRPr="002255B6">
              <w:rPr>
                <w:highlight w:val="green"/>
              </w:rPr>
              <w:t>MyMaths</w:t>
            </w:r>
            <w:proofErr w:type="spellEnd"/>
            <w:r w:rsidR="00C01672">
              <w:rPr>
                <w:highlight w:val="green"/>
              </w:rPr>
              <w:t xml:space="preserve"> for all KS3/4 students as appropriate</w:t>
            </w:r>
          </w:p>
          <w:p w:rsidR="004C7D41" w:rsidRPr="002255B6" w:rsidRDefault="004C7D41" w:rsidP="00A508BA">
            <w:pPr>
              <w:pStyle w:val="ListParagraph"/>
              <w:rPr>
                <w:highlight w:val="red"/>
              </w:rPr>
            </w:pPr>
            <w:r w:rsidRPr="002255B6">
              <w:rPr>
                <w:highlight w:val="red"/>
              </w:rPr>
              <w:t>Access to Eton College online learning platform for Year 11 students</w:t>
            </w:r>
            <w:r w:rsidR="00C01672">
              <w:rPr>
                <w:highlight w:val="red"/>
              </w:rPr>
              <w:t xml:space="preserve"> </w:t>
            </w:r>
            <w:r w:rsidR="002255B6">
              <w:rPr>
                <w:highlight w:val="red"/>
              </w:rPr>
              <w:t>(this was provided but the uptake among Year 11 DA was minimal)</w:t>
            </w:r>
          </w:p>
          <w:tbl>
            <w:tblPr>
              <w:tblW w:w="3880" w:type="dxa"/>
              <w:tblLook w:val="04A0" w:firstRow="1" w:lastRow="0" w:firstColumn="1" w:lastColumn="0" w:noHBand="0" w:noVBand="1"/>
            </w:tblPr>
            <w:tblGrid>
              <w:gridCol w:w="3880"/>
            </w:tblGrid>
            <w:tr w:rsidR="006A5A15" w:rsidRPr="00A508BA" w:rsidTr="004C7D41">
              <w:trPr>
                <w:trHeight w:val="80"/>
              </w:trPr>
              <w:tc>
                <w:tcPr>
                  <w:tcW w:w="3880" w:type="dxa"/>
                  <w:tcBorders>
                    <w:top w:val="nil"/>
                    <w:left w:val="nil"/>
                    <w:bottom w:val="nil"/>
                    <w:right w:val="nil"/>
                  </w:tcBorders>
                  <w:shd w:val="clear" w:color="auto" w:fill="auto"/>
                  <w:noWrap/>
                  <w:vAlign w:val="bottom"/>
                  <w:hideMark/>
                </w:tcPr>
                <w:p w:rsidR="006A5A15" w:rsidRPr="00A508BA" w:rsidRDefault="006A5A15" w:rsidP="004C7D41"/>
              </w:tc>
            </w:tr>
            <w:tr w:rsidR="006A5A15" w:rsidRPr="007602DF" w:rsidTr="004C7D41">
              <w:trPr>
                <w:trHeight w:val="300"/>
              </w:trPr>
              <w:tc>
                <w:tcPr>
                  <w:tcW w:w="3880" w:type="dxa"/>
                  <w:tcBorders>
                    <w:top w:val="nil"/>
                    <w:left w:val="nil"/>
                    <w:bottom w:val="nil"/>
                    <w:right w:val="nil"/>
                  </w:tcBorders>
                  <w:shd w:val="clear" w:color="auto" w:fill="auto"/>
                  <w:noWrap/>
                  <w:vAlign w:val="bottom"/>
                  <w:hideMark/>
                </w:tcPr>
                <w:p w:rsidR="006A5A15" w:rsidRPr="006A5A15" w:rsidRDefault="006A5A15" w:rsidP="006A5A15">
                  <w:pPr>
                    <w:spacing w:after="0" w:line="240" w:lineRule="auto"/>
                    <w:rPr>
                      <w:rFonts w:ascii="Calibri" w:hAnsi="Calibri" w:cs="Calibri"/>
                      <w:color w:val="000000"/>
                    </w:rPr>
                  </w:pPr>
                </w:p>
              </w:tc>
            </w:tr>
          </w:tbl>
          <w:p w:rsidR="00343503" w:rsidRDefault="00343503" w:rsidP="00343503">
            <w:pPr>
              <w:rPr>
                <w:rFonts w:cstheme="minorHAnsi"/>
                <w:b/>
                <w:u w:val="single"/>
              </w:rPr>
            </w:pPr>
            <w:r w:rsidRPr="00CC4430">
              <w:rPr>
                <w:b/>
                <w:u w:val="single"/>
              </w:rPr>
              <w:t xml:space="preserve">Objective 2: </w:t>
            </w:r>
            <w:r w:rsidRPr="00CC4430">
              <w:rPr>
                <w:rFonts w:cstheme="minorHAnsi"/>
                <w:b/>
                <w:u w:val="single"/>
              </w:rPr>
              <w:t>Decrease % of persistent absence (PA) for DA students</w:t>
            </w:r>
          </w:p>
          <w:p w:rsidR="004C7D41" w:rsidRPr="002255B6" w:rsidRDefault="004C7D41" w:rsidP="004C7D41">
            <w:pPr>
              <w:pStyle w:val="ListParagraph"/>
              <w:numPr>
                <w:ilvl w:val="0"/>
                <w:numId w:val="17"/>
              </w:numPr>
              <w:rPr>
                <w:rFonts w:cstheme="minorHAnsi"/>
                <w:b/>
                <w:highlight w:val="yellow"/>
                <w:u w:val="single"/>
              </w:rPr>
            </w:pPr>
            <w:r w:rsidRPr="002255B6">
              <w:rPr>
                <w:rFonts w:cstheme="minorHAnsi"/>
                <w:highlight w:val="yellow"/>
              </w:rPr>
              <w:t>Weekly monitoring of DA attendance-screen shots to parents</w:t>
            </w:r>
            <w:r w:rsidR="002255B6">
              <w:rPr>
                <w:rFonts w:cstheme="minorHAnsi"/>
                <w:highlight w:val="yellow"/>
              </w:rPr>
              <w:t xml:space="preserve"> (inconsistent</w:t>
            </w:r>
            <w:r w:rsidR="00C01672">
              <w:rPr>
                <w:rFonts w:cstheme="minorHAnsi"/>
                <w:highlight w:val="yellow"/>
              </w:rPr>
              <w:t xml:space="preserve"> within tutor teams)</w:t>
            </w:r>
          </w:p>
          <w:p w:rsidR="004C7D41" w:rsidRPr="002255B6" w:rsidRDefault="004C7D41" w:rsidP="004C7D41">
            <w:pPr>
              <w:pStyle w:val="ListParagraph"/>
              <w:numPr>
                <w:ilvl w:val="0"/>
                <w:numId w:val="17"/>
              </w:numPr>
              <w:rPr>
                <w:rFonts w:cstheme="minorHAnsi"/>
                <w:highlight w:val="yellow"/>
              </w:rPr>
            </w:pPr>
            <w:r w:rsidRPr="002255B6">
              <w:rPr>
                <w:rFonts w:cstheme="minorHAnsi"/>
                <w:highlight w:val="yellow"/>
              </w:rPr>
              <w:t>Targeting of vulnerable individuals within tutor groups for weekly tutor phone contact</w:t>
            </w:r>
            <w:r w:rsidR="002255B6">
              <w:rPr>
                <w:rFonts w:cstheme="minorHAnsi"/>
                <w:highlight w:val="yellow"/>
              </w:rPr>
              <w:t xml:space="preserve"> (inconsistent</w:t>
            </w:r>
            <w:r w:rsidR="00C01672">
              <w:rPr>
                <w:rFonts w:cstheme="minorHAnsi"/>
                <w:highlight w:val="yellow"/>
              </w:rPr>
              <w:t xml:space="preserve"> within tutor teams</w:t>
            </w:r>
            <w:r w:rsidR="002255B6">
              <w:rPr>
                <w:rFonts w:cstheme="minorHAnsi"/>
                <w:highlight w:val="yellow"/>
              </w:rPr>
              <w:t>)</w:t>
            </w:r>
          </w:p>
          <w:p w:rsidR="004C7D41" w:rsidRPr="002255B6" w:rsidRDefault="004C7D41" w:rsidP="004C7D41">
            <w:pPr>
              <w:pStyle w:val="ListParagraph"/>
              <w:numPr>
                <w:ilvl w:val="0"/>
                <w:numId w:val="17"/>
              </w:numPr>
              <w:rPr>
                <w:rFonts w:cstheme="minorHAnsi"/>
                <w:highlight w:val="green"/>
              </w:rPr>
            </w:pPr>
            <w:r w:rsidRPr="002255B6">
              <w:rPr>
                <w:rFonts w:cstheme="minorHAnsi"/>
                <w:highlight w:val="green"/>
              </w:rPr>
              <w:t>Reduced time between EWO escalation letters</w:t>
            </w:r>
          </w:p>
          <w:p w:rsidR="004C7D41" w:rsidRPr="002255B6" w:rsidRDefault="004C7D41" w:rsidP="004C7D41">
            <w:pPr>
              <w:pStyle w:val="ListParagraph"/>
              <w:numPr>
                <w:ilvl w:val="0"/>
                <w:numId w:val="17"/>
              </w:numPr>
              <w:rPr>
                <w:rFonts w:cstheme="minorHAnsi"/>
                <w:highlight w:val="green"/>
              </w:rPr>
            </w:pPr>
            <w:r w:rsidRPr="002255B6">
              <w:rPr>
                <w:rFonts w:cstheme="minorHAnsi"/>
                <w:highlight w:val="green"/>
              </w:rPr>
              <w:t>Weekly attendance rewards Years 7-11</w:t>
            </w:r>
          </w:p>
          <w:p w:rsidR="004C7D41" w:rsidRPr="002255B6" w:rsidRDefault="004C7D41" w:rsidP="004C7D41">
            <w:pPr>
              <w:pStyle w:val="ListParagraph"/>
              <w:numPr>
                <w:ilvl w:val="0"/>
                <w:numId w:val="17"/>
              </w:numPr>
              <w:rPr>
                <w:rFonts w:cstheme="minorHAnsi"/>
                <w:highlight w:val="green"/>
              </w:rPr>
            </w:pPr>
            <w:r w:rsidRPr="002255B6">
              <w:rPr>
                <w:rFonts w:cstheme="minorHAnsi"/>
                <w:highlight w:val="green"/>
              </w:rPr>
              <w:t>Attendance e-praise postcards</w:t>
            </w:r>
          </w:p>
          <w:p w:rsidR="004C7D41" w:rsidRPr="004C7D41" w:rsidRDefault="004C7D41" w:rsidP="004C7D41">
            <w:pPr>
              <w:rPr>
                <w:rFonts w:cstheme="minorHAnsi"/>
              </w:rPr>
            </w:pPr>
          </w:p>
          <w:p w:rsidR="00223F12" w:rsidRPr="00CC4430" w:rsidRDefault="00223F12" w:rsidP="00223F12">
            <w:pPr>
              <w:rPr>
                <w:b/>
                <w:u w:val="single"/>
              </w:rPr>
            </w:pPr>
            <w:r w:rsidRPr="00CC4430">
              <w:rPr>
                <w:b/>
                <w:u w:val="single"/>
              </w:rPr>
              <w:t xml:space="preserve">Objective 3: Ensure all disadvantaged </w:t>
            </w:r>
            <w:r w:rsidR="003268FA">
              <w:rPr>
                <w:b/>
                <w:u w:val="single"/>
              </w:rPr>
              <w:t>students</w:t>
            </w:r>
            <w:r w:rsidRPr="00CC4430">
              <w:rPr>
                <w:b/>
                <w:u w:val="single"/>
              </w:rPr>
              <w:t xml:space="preserve"> are provided with excellent pastoral care and provided with fair access to the wider curriculum</w:t>
            </w:r>
          </w:p>
          <w:tbl>
            <w:tblPr>
              <w:tblW w:w="3880" w:type="dxa"/>
              <w:tblLook w:val="04A0" w:firstRow="1" w:lastRow="0" w:firstColumn="1" w:lastColumn="0" w:noHBand="0" w:noVBand="1"/>
            </w:tblPr>
            <w:tblGrid>
              <w:gridCol w:w="3880"/>
            </w:tblGrid>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55B6">
                    <w:rPr>
                      <w:rFonts w:cs="Arial"/>
                      <w:color w:val="000000"/>
                      <w:highlight w:val="yellow"/>
                    </w:rPr>
                    <w:t>Dartmoor Teaching Alliance-staff training</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55B6">
                    <w:rPr>
                      <w:rFonts w:cs="Arial"/>
                      <w:color w:val="000000"/>
                      <w:highlight w:val="yellow"/>
                    </w:rPr>
                    <w:t>Music Support</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NSSW Support Work</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Admin Support</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Careers Advice</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 xml:space="preserve">Counsellor </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 xml:space="preserve">Supervision for </w:t>
                  </w:r>
                  <w:r w:rsidR="00A82778">
                    <w:rPr>
                      <w:rFonts w:cs="Arial"/>
                      <w:color w:val="000000"/>
                      <w:highlight w:val="green"/>
                    </w:rPr>
                    <w:t>student counsellor</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Music Support</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NSSW Support Work</w:t>
                  </w:r>
                </w:p>
              </w:tc>
            </w:tr>
            <w:tr w:rsidR="00223F12" w:rsidRPr="00CC4430" w:rsidTr="002158C5">
              <w:trPr>
                <w:trHeight w:val="300"/>
              </w:trPr>
              <w:tc>
                <w:tcPr>
                  <w:tcW w:w="3880" w:type="dxa"/>
                  <w:tcBorders>
                    <w:top w:val="nil"/>
                    <w:left w:val="nil"/>
                    <w:bottom w:val="nil"/>
                    <w:right w:val="nil"/>
                  </w:tcBorders>
                  <w:shd w:val="clear" w:color="000000" w:fill="FFFF00"/>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3F12">
                    <w:rPr>
                      <w:rFonts w:cs="Arial"/>
                      <w:color w:val="000000"/>
                    </w:rPr>
                    <w:t>PP Projects fund</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 xml:space="preserve">Student Support Workers </w:t>
                  </w:r>
                </w:p>
              </w:tc>
            </w:tr>
            <w:tr w:rsidR="00223F12" w:rsidRPr="002255B6"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red"/>
                    </w:rPr>
                  </w:pPr>
                  <w:r w:rsidRPr="002255B6">
                    <w:rPr>
                      <w:rFonts w:cs="Arial"/>
                      <w:color w:val="000000"/>
                      <w:highlight w:val="red"/>
                    </w:rPr>
                    <w:t>Support for Activities Week</w:t>
                  </w:r>
                  <w:r w:rsidR="00C01672">
                    <w:rPr>
                      <w:rFonts w:cs="Arial"/>
                      <w:color w:val="000000"/>
                      <w:highlight w:val="red"/>
                    </w:rPr>
                    <w:t>-did not take place due to Covid19.</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55B6">
                    <w:rPr>
                      <w:rFonts w:cs="Arial"/>
                      <w:color w:val="000000"/>
                      <w:highlight w:val="green"/>
                    </w:rPr>
                    <w:t>Transition</w:t>
                  </w:r>
                  <w:r w:rsidR="00C01672">
                    <w:rPr>
                      <w:rFonts w:cs="Arial"/>
                      <w:color w:val="000000"/>
                      <w:highlight w:val="green"/>
                    </w:rPr>
                    <w:t>-</w:t>
                  </w:r>
                  <w:r w:rsidRPr="002255B6">
                    <w:rPr>
                      <w:rFonts w:cs="Arial"/>
                      <w:color w:val="000000"/>
                      <w:highlight w:val="green"/>
                    </w:rPr>
                    <w:t xml:space="preserve"> increased hours</w:t>
                  </w:r>
                  <w:r w:rsidR="00C01672">
                    <w:rPr>
                      <w:rFonts w:cs="Arial"/>
                      <w:color w:val="000000"/>
                      <w:highlight w:val="green"/>
                    </w:rPr>
                    <w:t xml:space="preserve"> for transition officer to support virtual and physical transition due to Covid19.</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55B6">
                    <w:rPr>
                      <w:rFonts w:cs="Arial"/>
                      <w:color w:val="000000"/>
                      <w:highlight w:val="green"/>
                    </w:rPr>
                    <w:t>Mentoring</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55B6" w:rsidRDefault="00223F12" w:rsidP="00223F12">
                  <w:pPr>
                    <w:pStyle w:val="ListParagraph"/>
                    <w:numPr>
                      <w:ilvl w:val="0"/>
                      <w:numId w:val="24"/>
                    </w:numPr>
                    <w:spacing w:after="0" w:line="240" w:lineRule="auto"/>
                    <w:rPr>
                      <w:rFonts w:cs="Arial"/>
                      <w:color w:val="000000"/>
                      <w:highlight w:val="green"/>
                    </w:rPr>
                  </w:pPr>
                  <w:r w:rsidRPr="002255B6">
                    <w:rPr>
                      <w:rFonts w:cs="Arial"/>
                      <w:color w:val="000000"/>
                      <w:highlight w:val="green"/>
                    </w:rPr>
                    <w:t>Positive Masculinity</w:t>
                  </w:r>
                  <w:r w:rsidR="002255B6">
                    <w:rPr>
                      <w:rFonts w:cs="Arial"/>
                      <w:color w:val="000000"/>
                      <w:highlight w:val="green"/>
                    </w:rPr>
                    <w:t>/Girls on Board</w:t>
                  </w:r>
                </w:p>
              </w:tc>
            </w:tr>
            <w:tr w:rsidR="00223F12" w:rsidRPr="00CC4430" w:rsidTr="00223F12">
              <w:trPr>
                <w:trHeight w:val="8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C01672">
                    <w:rPr>
                      <w:rFonts w:cs="Arial"/>
                      <w:color w:val="000000"/>
                      <w:highlight w:val="green"/>
                    </w:rPr>
                    <w:t>Student Support budget</w:t>
                  </w:r>
                </w:p>
              </w:tc>
            </w:tr>
            <w:tr w:rsidR="00223F12" w:rsidRPr="00CC4430" w:rsidTr="002158C5">
              <w:trPr>
                <w:trHeight w:val="300"/>
              </w:trPr>
              <w:tc>
                <w:tcPr>
                  <w:tcW w:w="3880" w:type="dxa"/>
                  <w:tcBorders>
                    <w:top w:val="nil"/>
                    <w:left w:val="nil"/>
                    <w:bottom w:val="nil"/>
                    <w:right w:val="nil"/>
                  </w:tcBorders>
                  <w:shd w:val="clear" w:color="auto" w:fill="auto"/>
                  <w:noWrap/>
                  <w:vAlign w:val="bottom"/>
                  <w:hideMark/>
                </w:tcPr>
                <w:p w:rsidR="00223F12" w:rsidRPr="00223F12" w:rsidRDefault="00223F12" w:rsidP="00223F12">
                  <w:pPr>
                    <w:pStyle w:val="ListParagraph"/>
                    <w:numPr>
                      <w:ilvl w:val="0"/>
                      <w:numId w:val="24"/>
                    </w:numPr>
                    <w:spacing w:after="0" w:line="240" w:lineRule="auto"/>
                    <w:rPr>
                      <w:rFonts w:cs="Arial"/>
                      <w:color w:val="000000"/>
                    </w:rPr>
                  </w:pPr>
                  <w:r w:rsidRPr="002255B6">
                    <w:rPr>
                      <w:rFonts w:cs="Arial"/>
                      <w:color w:val="000000"/>
                      <w:highlight w:val="green"/>
                    </w:rPr>
                    <w:t>Bounce Mental Health provision</w:t>
                  </w:r>
                </w:p>
              </w:tc>
            </w:tr>
          </w:tbl>
          <w:p w:rsidR="0059137F" w:rsidRPr="00343503" w:rsidRDefault="0059137F" w:rsidP="0059137F"/>
          <w:p w:rsidR="006A5A15" w:rsidRPr="006A5A15" w:rsidRDefault="006A5A15" w:rsidP="006A5A15">
            <w:pPr>
              <w:spacing w:after="0" w:line="240" w:lineRule="auto"/>
              <w:ind w:left="720" w:hanging="360"/>
              <w:rPr>
                <w:rFonts w:ascii="Calibri" w:hAnsi="Calibri" w:cs="Calibri"/>
                <w:color w:val="000000"/>
              </w:rPr>
            </w:pPr>
          </w:p>
          <w:p w:rsidR="006A5A15" w:rsidRDefault="006A5A15">
            <w:pPr>
              <w:rPr>
                <w:i/>
                <w:lang w:eastAsia="en-US"/>
              </w:rPr>
            </w:pPr>
          </w:p>
          <w:p w:rsidR="00A277F5" w:rsidRDefault="00A277F5"/>
          <w:p w:rsidR="00A277F5" w:rsidRDefault="00A277F5"/>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7DB1">
            <w:pPr>
              <w:pStyle w:val="TableRow"/>
            </w:pPr>
            <w:r>
              <w:t>Online Safety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E1771">
            <w:pPr>
              <w:pStyle w:val="TableRowCentered"/>
              <w:jc w:val="left"/>
            </w:pPr>
            <w:r>
              <w:t>National Online Safety</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D41C3">
            <w:pPr>
              <w:pStyle w:val="TableRowCentered"/>
              <w:jc w:val="left"/>
            </w:pPr>
            <w:r>
              <w:t>We had a total of 10 service children in Years 7-11 in 2020/21. A service children survey indicated that our service children did not feel the need for a specific support group.</w:t>
            </w:r>
            <w:r w:rsidR="00AB5408">
              <w:t xml:space="preserve"> </w:t>
            </w:r>
            <w:r w:rsidR="0057420E" w:rsidRPr="0057420E">
              <w:t>P</w:t>
            </w:r>
            <w:r w:rsidR="00AB5408" w:rsidRPr="0057420E">
              <w:t>upil premium funds were allocated to</w:t>
            </w:r>
            <w:r w:rsidR="0057420E" w:rsidRPr="0057420E">
              <w:t xml:space="preserve"> </w:t>
            </w:r>
            <w:r w:rsidR="00BF1169" w:rsidRPr="0057420E">
              <w:t xml:space="preserve">service children </w:t>
            </w:r>
            <w:r w:rsidR="0057420E" w:rsidRPr="0057420E">
              <w:t>for supplies of uniform</w:t>
            </w:r>
            <w:r w:rsidR="0057420E">
              <w:t xml:space="preserve"> and </w:t>
            </w:r>
            <w:r w:rsidR="0057420E" w:rsidRPr="0057420E">
              <w:t>IT equipment</w:t>
            </w:r>
            <w:r w:rsidR="0057420E">
              <w:t>-laptops and dongles.</w:t>
            </w:r>
            <w:r w:rsidR="0057420E" w:rsidRPr="0057420E">
              <w:t xml:space="preserve">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 xml:space="preserve">What was the impact of that spending on service pupil premium eligible </w:t>
            </w:r>
            <w:r w:rsidR="00533806">
              <w:rPr>
                <w:color w:val="000000"/>
                <w:sz w:val="22"/>
              </w:rPr>
              <w:t>students</w:t>
            </w:r>
            <w:r>
              <w:rPr>
                <w:color w:val="000000"/>
                <w:sz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7420E">
            <w:pPr>
              <w:pStyle w:val="TableRowCentered"/>
              <w:jc w:val="left"/>
            </w:pPr>
            <w:r>
              <w:t>Increased engagement with online learning.</w:t>
            </w:r>
          </w:p>
        </w:tc>
      </w:tr>
      <w:bookmarkEnd w:id="18"/>
    </w:tbl>
    <w:p w:rsidR="00E66558" w:rsidRDefault="00E66558"/>
    <w:p w:rsidR="00E66558" w:rsidRDefault="00E66558">
      <w:pPr>
        <w:spacing w:after="0" w:line="240" w:lineRule="auto"/>
      </w:pPr>
    </w:p>
    <w:p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 xml:space="preserve">Use this space to provide any further information about your pupil premium strategy. For example, about your strategy planning, or other activity that you are implementing to support disadvantaged </w:t>
            </w:r>
            <w:r w:rsidR="00533806">
              <w:rPr>
                <w:rFonts w:cs="Arial"/>
                <w:i/>
                <w:iCs/>
              </w:rPr>
              <w:t>students</w:t>
            </w:r>
            <w:r>
              <w:rPr>
                <w:rFonts w:cs="Arial"/>
                <w:i/>
                <w:iCs/>
              </w:rPr>
              <w:t>, that is not dependent on pupil premium or recovery premium funding.</w:t>
            </w:r>
          </w:p>
          <w:p w:rsidR="00E66558" w:rsidRDefault="00E66558">
            <w:pPr>
              <w:spacing w:before="120" w:after="120"/>
              <w:rPr>
                <w:i/>
                <w:iCs/>
              </w:rPr>
            </w:pPr>
          </w:p>
        </w:tc>
      </w:tr>
      <w:bookmarkEnd w:id="15"/>
      <w:bookmarkEnd w:id="16"/>
      <w:bookmarkEnd w:id="17"/>
    </w:tbl>
    <w:p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770" w:rsidRDefault="00365770">
      <w:pPr>
        <w:spacing w:after="0" w:line="240" w:lineRule="auto"/>
      </w:pPr>
      <w:r>
        <w:separator/>
      </w:r>
    </w:p>
  </w:endnote>
  <w:endnote w:type="continuationSeparator" w:id="0">
    <w:p w:rsidR="00365770" w:rsidRDefault="0036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71" w:rsidRDefault="00DE177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770" w:rsidRDefault="00365770">
      <w:pPr>
        <w:spacing w:after="0" w:line="240" w:lineRule="auto"/>
      </w:pPr>
      <w:r>
        <w:separator/>
      </w:r>
    </w:p>
  </w:footnote>
  <w:footnote w:type="continuationSeparator" w:id="0">
    <w:p w:rsidR="00365770" w:rsidRDefault="0036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71" w:rsidRDefault="00DE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36626F"/>
    <w:multiLevelType w:val="hybridMultilevel"/>
    <w:tmpl w:val="12080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802757"/>
    <w:multiLevelType w:val="hybridMultilevel"/>
    <w:tmpl w:val="5F2A3AE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087CB9"/>
    <w:multiLevelType w:val="hybridMultilevel"/>
    <w:tmpl w:val="555C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C0D52"/>
    <w:multiLevelType w:val="multilevel"/>
    <w:tmpl w:val="72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22BE1"/>
    <w:multiLevelType w:val="hybridMultilevel"/>
    <w:tmpl w:val="3626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F13AB"/>
    <w:multiLevelType w:val="hybridMultilevel"/>
    <w:tmpl w:val="8BF6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77DEB"/>
    <w:multiLevelType w:val="hybridMultilevel"/>
    <w:tmpl w:val="F6F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21317DE"/>
    <w:multiLevelType w:val="hybridMultilevel"/>
    <w:tmpl w:val="C05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7"/>
  </w:num>
  <w:num w:numId="8">
    <w:abstractNumId w:val="23"/>
  </w:num>
  <w:num w:numId="9">
    <w:abstractNumId w:val="20"/>
  </w:num>
  <w:num w:numId="10">
    <w:abstractNumId w:val="18"/>
  </w:num>
  <w:num w:numId="11">
    <w:abstractNumId w:val="4"/>
  </w:num>
  <w:num w:numId="12">
    <w:abstractNumId w:val="21"/>
  </w:num>
  <w:num w:numId="13">
    <w:abstractNumId w:val="16"/>
  </w:num>
  <w:num w:numId="14">
    <w:abstractNumId w:val="13"/>
  </w:num>
  <w:num w:numId="15">
    <w:abstractNumId w:val="0"/>
  </w:num>
  <w:num w:numId="16">
    <w:abstractNumId w:val="19"/>
  </w:num>
  <w:num w:numId="17">
    <w:abstractNumId w:val="8"/>
  </w:num>
  <w:num w:numId="18">
    <w:abstractNumId w:val="10"/>
  </w:num>
  <w:num w:numId="19">
    <w:abstractNumId w:val="14"/>
  </w:num>
  <w:num w:numId="20">
    <w:abstractNumId w:val="15"/>
  </w:num>
  <w:num w:numId="21">
    <w:abstractNumId w:val="2"/>
  </w:num>
  <w:num w:numId="22">
    <w:abstractNumId w:val="1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53BE"/>
    <w:rsid w:val="000A298E"/>
    <w:rsid w:val="000A45C7"/>
    <w:rsid w:val="000D3E6A"/>
    <w:rsid w:val="000F24EC"/>
    <w:rsid w:val="00120AB1"/>
    <w:rsid w:val="00126B8F"/>
    <w:rsid w:val="0014302C"/>
    <w:rsid w:val="00177F0B"/>
    <w:rsid w:val="001C343C"/>
    <w:rsid w:val="0021557F"/>
    <w:rsid w:val="002158C5"/>
    <w:rsid w:val="00223F12"/>
    <w:rsid w:val="002255B6"/>
    <w:rsid w:val="002A764B"/>
    <w:rsid w:val="002C05E9"/>
    <w:rsid w:val="002D4665"/>
    <w:rsid w:val="002F6994"/>
    <w:rsid w:val="003211FD"/>
    <w:rsid w:val="003268FA"/>
    <w:rsid w:val="00343503"/>
    <w:rsid w:val="00365770"/>
    <w:rsid w:val="00367DB1"/>
    <w:rsid w:val="003801E1"/>
    <w:rsid w:val="003B60E0"/>
    <w:rsid w:val="004044AA"/>
    <w:rsid w:val="004C7D41"/>
    <w:rsid w:val="004D1EFE"/>
    <w:rsid w:val="0050579B"/>
    <w:rsid w:val="00533806"/>
    <w:rsid w:val="005571D7"/>
    <w:rsid w:val="00561459"/>
    <w:rsid w:val="0057420E"/>
    <w:rsid w:val="00576916"/>
    <w:rsid w:val="0059137F"/>
    <w:rsid w:val="005E5455"/>
    <w:rsid w:val="006A5A15"/>
    <w:rsid w:val="006E7FB1"/>
    <w:rsid w:val="006F1C3E"/>
    <w:rsid w:val="00707C88"/>
    <w:rsid w:val="00741B9E"/>
    <w:rsid w:val="007C2F04"/>
    <w:rsid w:val="007E2EF0"/>
    <w:rsid w:val="008569A5"/>
    <w:rsid w:val="008B70D5"/>
    <w:rsid w:val="008C053B"/>
    <w:rsid w:val="00926ABA"/>
    <w:rsid w:val="00940407"/>
    <w:rsid w:val="0096623C"/>
    <w:rsid w:val="009A339F"/>
    <w:rsid w:val="009C5DCA"/>
    <w:rsid w:val="009D34FE"/>
    <w:rsid w:val="009D71E8"/>
    <w:rsid w:val="00A277F5"/>
    <w:rsid w:val="00A508BA"/>
    <w:rsid w:val="00A82778"/>
    <w:rsid w:val="00AA4201"/>
    <w:rsid w:val="00AB5408"/>
    <w:rsid w:val="00AD41C3"/>
    <w:rsid w:val="00AD4FA8"/>
    <w:rsid w:val="00B328A5"/>
    <w:rsid w:val="00B33A61"/>
    <w:rsid w:val="00BD4E9C"/>
    <w:rsid w:val="00BF1169"/>
    <w:rsid w:val="00C015A4"/>
    <w:rsid w:val="00C01672"/>
    <w:rsid w:val="00C508B9"/>
    <w:rsid w:val="00C829CB"/>
    <w:rsid w:val="00C938FA"/>
    <w:rsid w:val="00CA5825"/>
    <w:rsid w:val="00CF3C50"/>
    <w:rsid w:val="00D33FE5"/>
    <w:rsid w:val="00D8327C"/>
    <w:rsid w:val="00DE1771"/>
    <w:rsid w:val="00E15A99"/>
    <w:rsid w:val="00E45645"/>
    <w:rsid w:val="00E66558"/>
    <w:rsid w:val="00EB29FF"/>
    <w:rsid w:val="00F27AF3"/>
    <w:rsid w:val="00F62EAE"/>
    <w:rsid w:val="00F7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1"/>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A508BA"/>
    <w:pPr>
      <w:suppressAutoHyphens/>
    </w:pPr>
    <w:rPr>
      <w:color w:val="0D0D0D"/>
      <w:sz w:val="24"/>
      <w:szCs w:val="24"/>
    </w:rPr>
  </w:style>
  <w:style w:type="character" w:customStyle="1" w:styleId="quo">
    <w:name w:val="quo"/>
    <w:basedOn w:val="DefaultParagraphFont"/>
    <w:rsid w:val="0009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755">
      <w:bodyDiv w:val="1"/>
      <w:marLeft w:val="0"/>
      <w:marRight w:val="0"/>
      <w:marTop w:val="0"/>
      <w:marBottom w:val="0"/>
      <w:divBdr>
        <w:top w:val="none" w:sz="0" w:space="0" w:color="auto"/>
        <w:left w:val="none" w:sz="0" w:space="0" w:color="auto"/>
        <w:bottom w:val="none" w:sz="0" w:space="0" w:color="auto"/>
        <w:right w:val="none" w:sz="0" w:space="0" w:color="auto"/>
      </w:divBdr>
    </w:div>
    <w:div w:id="486484409">
      <w:bodyDiv w:val="1"/>
      <w:marLeft w:val="0"/>
      <w:marRight w:val="0"/>
      <w:marTop w:val="0"/>
      <w:marBottom w:val="0"/>
      <w:divBdr>
        <w:top w:val="none" w:sz="0" w:space="0" w:color="auto"/>
        <w:left w:val="none" w:sz="0" w:space="0" w:color="auto"/>
        <w:bottom w:val="none" w:sz="0" w:space="0" w:color="auto"/>
        <w:right w:val="none" w:sz="0" w:space="0" w:color="auto"/>
      </w:divBdr>
    </w:div>
    <w:div w:id="497694563">
      <w:bodyDiv w:val="1"/>
      <w:marLeft w:val="0"/>
      <w:marRight w:val="0"/>
      <w:marTop w:val="0"/>
      <w:marBottom w:val="0"/>
      <w:divBdr>
        <w:top w:val="none" w:sz="0" w:space="0" w:color="auto"/>
        <w:left w:val="none" w:sz="0" w:space="0" w:color="auto"/>
        <w:bottom w:val="none" w:sz="0" w:space="0" w:color="auto"/>
        <w:right w:val="none" w:sz="0" w:space="0" w:color="auto"/>
      </w:divBdr>
    </w:div>
    <w:div w:id="130443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educationendowmentfoundation.org.uk/education-evidence/teaching-learning-toolk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 TargetMode="External"/><Relationship Id="rId7" Type="http://schemas.openxmlformats.org/officeDocument/2006/relationships/hyperlink" Target="https://educationendowmentfoundation.org.uk/education-evidence/teaching-learning-toolkit" TargetMode="External"/><Relationship Id="rId12" Type="http://schemas.openxmlformats.org/officeDocument/2006/relationships/hyperlink" Target="https://educationendowmentfoundation.org.uk/education-evidence/evidence-reviews/attainment-measures-in-literacy-mathematics-and-science" TargetMode="External"/><Relationship Id="rId17" Type="http://schemas.openxmlformats.org/officeDocument/2006/relationships/hyperlink" Target="https://educationendowmentfoundation.org.uk/education-evidence/teaching-learning-toolk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educationendowmentfoundation.org.uk/support-for-schools/school-improvement-planning/3-wider-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 TargetMode="External"/><Relationship Id="rId23" Type="http://schemas.openxmlformats.org/officeDocument/2006/relationships/hyperlink" Target="https://educationendowmentfoundation.org.uk/education-evidence/evidence-reviews/remote-learning-for-pupils" TargetMode="Externa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hyperlink" Target="https://educationendowmentfoundation.org.uk/education-evidence/teaching-learning-toolkit"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 TargetMode="Externa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educationendowmentfoundation.org.uk/education-evidence/teaching-learning-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3177</Words>
  <Characters>18115</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Pupil premium strategy statement</vt:lpstr>
      <vt:lpstr>Tiverton High School Pupil Premium strategy statement 2021/22</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lpstr>    Service pupil premium funding (optional)</vt:lpstr>
      <vt:lpstr>Further information (optional)</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Julie Scotting</cp:lastModifiedBy>
  <cp:revision>2</cp:revision>
  <cp:lastPrinted>2021-11-24T17:23:00Z</cp:lastPrinted>
  <dcterms:created xsi:type="dcterms:W3CDTF">2021-12-30T19:44:00Z</dcterms:created>
  <dcterms:modified xsi:type="dcterms:W3CDTF">2021-12-30T19:44:00Z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