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CC5F" w14:textId="0077A7B0" w:rsidR="003C1B88" w:rsidRDefault="003F7E07" w:rsidP="00F66EEE">
      <w:r>
        <w:rPr>
          <w:rFonts w:ascii="Calibri" w:hAnsi="Calibri" w:cs="Calibri"/>
          <w:noProof/>
          <w:lang w:eastAsia="en-GB"/>
        </w:rPr>
        <w:drawing>
          <wp:inline distT="0" distB="0" distL="0" distR="0" wp14:anchorId="0968B5BA" wp14:editId="11104930">
            <wp:extent cx="5534025" cy="1247775"/>
            <wp:effectExtent l="0" t="0" r="9525" b="952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534025" cy="1247775"/>
                    </a:xfrm>
                    <a:prstGeom prst="rect">
                      <a:avLst/>
                    </a:prstGeom>
                  </pic:spPr>
                </pic:pic>
              </a:graphicData>
            </a:graphic>
          </wp:inline>
        </w:drawing>
      </w:r>
    </w:p>
    <w:p w14:paraId="4018D48F" w14:textId="77777777" w:rsidR="003C1B88" w:rsidRDefault="003C1B88" w:rsidP="00F66EEE"/>
    <w:p w14:paraId="3CFBDC8D" w14:textId="7C15C8C4" w:rsidR="003C1B88" w:rsidRPr="003C1B88" w:rsidRDefault="003C1B88" w:rsidP="003F7E07">
      <w:pPr>
        <w:jc w:val="center"/>
        <w:rPr>
          <w:b/>
          <w:bCs/>
          <w:sz w:val="48"/>
          <w:szCs w:val="48"/>
        </w:rPr>
      </w:pPr>
      <w:r w:rsidRPr="003C1B88">
        <w:rPr>
          <w:b/>
          <w:bCs/>
          <w:sz w:val="48"/>
          <w:szCs w:val="48"/>
        </w:rPr>
        <w:t>Tiverton High School</w:t>
      </w:r>
    </w:p>
    <w:p w14:paraId="3E81EBF4" w14:textId="19088C04" w:rsidR="003C1B88" w:rsidRDefault="003C1B88" w:rsidP="003C1B88">
      <w:pPr>
        <w:jc w:val="center"/>
        <w:rPr>
          <w:b/>
          <w:bCs/>
          <w:sz w:val="48"/>
          <w:szCs w:val="48"/>
        </w:rPr>
      </w:pPr>
      <w:r w:rsidRPr="003C1B88">
        <w:rPr>
          <w:b/>
          <w:bCs/>
          <w:sz w:val="48"/>
          <w:szCs w:val="48"/>
        </w:rPr>
        <w:t>Provider Access Policy</w:t>
      </w:r>
    </w:p>
    <w:p w14:paraId="5C71274C" w14:textId="77777777" w:rsidR="0039093E" w:rsidRDefault="0039093E" w:rsidP="003C1B88">
      <w:pPr>
        <w:jc w:val="center"/>
        <w:rPr>
          <w:b/>
          <w:bCs/>
          <w:sz w:val="48"/>
          <w:szCs w:val="48"/>
        </w:rPr>
      </w:pPr>
    </w:p>
    <w:tbl>
      <w:tblPr>
        <w:tblW w:w="0" w:type="auto"/>
        <w:jc w:val="center"/>
        <w:tblBorders>
          <w:insideH w:val="single" w:sz="4" w:space="0" w:color="000000"/>
          <w:insideV w:val="single" w:sz="4" w:space="0" w:color="000000"/>
        </w:tblBorders>
        <w:tblLook w:val="00A0" w:firstRow="1" w:lastRow="0" w:firstColumn="1" w:lastColumn="0" w:noHBand="0" w:noVBand="0"/>
      </w:tblPr>
      <w:tblGrid>
        <w:gridCol w:w="2820"/>
        <w:gridCol w:w="6186"/>
      </w:tblGrid>
      <w:tr w:rsidR="003F7E07" w:rsidRPr="00952F08" w14:paraId="717284E6" w14:textId="77777777" w:rsidTr="003F7E07">
        <w:trPr>
          <w:jc w:val="center"/>
        </w:trPr>
        <w:tc>
          <w:tcPr>
            <w:tcW w:w="2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003F0" w14:textId="77777777" w:rsidR="003F7E07" w:rsidRPr="00952F08" w:rsidRDefault="003F7E07" w:rsidP="00362396">
            <w:pPr>
              <w:rPr>
                <w:rFonts w:ascii="Calibri" w:hAnsi="Calibri" w:cs="Calibri"/>
                <w:sz w:val="32"/>
                <w:szCs w:val="32"/>
                <w:lang w:eastAsia="en-GB"/>
              </w:rPr>
            </w:pPr>
            <w:r w:rsidRPr="00952F08">
              <w:rPr>
                <w:rFonts w:ascii="Calibri" w:hAnsi="Calibri" w:cs="Calibri"/>
                <w:sz w:val="32"/>
                <w:szCs w:val="32"/>
                <w:lang w:eastAsia="en-GB"/>
              </w:rPr>
              <w:t>Status</w:t>
            </w:r>
          </w:p>
        </w:tc>
        <w:tc>
          <w:tcPr>
            <w:tcW w:w="6186" w:type="dxa"/>
            <w:tcBorders>
              <w:top w:val="single" w:sz="8" w:space="0" w:color="000000" w:themeColor="text1"/>
              <w:left w:val="nil"/>
              <w:bottom w:val="single" w:sz="8" w:space="0" w:color="000000" w:themeColor="text1"/>
              <w:right w:val="single" w:sz="8" w:space="0" w:color="000000" w:themeColor="text1"/>
            </w:tcBorders>
          </w:tcPr>
          <w:p w14:paraId="5CF300CC" w14:textId="637BE916" w:rsidR="003F7E07" w:rsidRPr="0039093E" w:rsidRDefault="003F7E07" w:rsidP="00362396">
            <w:pPr>
              <w:rPr>
                <w:rFonts w:ascii="Calibri" w:hAnsi="Calibri" w:cs="Calibri"/>
                <w:bCs/>
                <w:sz w:val="32"/>
                <w:szCs w:val="32"/>
                <w:lang w:eastAsia="en-GB"/>
              </w:rPr>
            </w:pPr>
            <w:r w:rsidRPr="0039093E">
              <w:rPr>
                <w:rFonts w:ascii="Calibri" w:hAnsi="Calibri" w:cs="Calibri"/>
                <w:bCs/>
                <w:sz w:val="32"/>
                <w:szCs w:val="32"/>
                <w:lang w:eastAsia="en-GB"/>
              </w:rPr>
              <w:t>Statutory</w:t>
            </w:r>
          </w:p>
        </w:tc>
      </w:tr>
      <w:tr w:rsidR="003F7E07" w:rsidRPr="00952F08" w14:paraId="158BC4DB" w14:textId="77777777" w:rsidTr="003F7E07">
        <w:trPr>
          <w:trHeight w:val="826"/>
          <w:jc w:val="center"/>
        </w:trPr>
        <w:tc>
          <w:tcPr>
            <w:tcW w:w="2820" w:type="dxa"/>
            <w:tcBorders>
              <w:top w:val="nil"/>
              <w:left w:val="single" w:sz="8" w:space="0" w:color="000000" w:themeColor="text1"/>
              <w:bottom w:val="single" w:sz="8" w:space="0" w:color="000000" w:themeColor="text1"/>
              <w:right w:val="single" w:sz="8" w:space="0" w:color="000000" w:themeColor="text1"/>
            </w:tcBorders>
          </w:tcPr>
          <w:p w14:paraId="1D427356" w14:textId="1687C184" w:rsidR="003F7E07" w:rsidRPr="00952F08" w:rsidRDefault="003F7E07" w:rsidP="00362396">
            <w:pPr>
              <w:rPr>
                <w:rFonts w:ascii="Calibri" w:hAnsi="Calibri" w:cs="Calibri"/>
                <w:sz w:val="32"/>
                <w:szCs w:val="32"/>
                <w:lang w:eastAsia="en-GB"/>
              </w:rPr>
            </w:pPr>
            <w:r>
              <w:rPr>
                <w:rFonts w:ascii="Calibri" w:hAnsi="Calibri" w:cs="Calibri"/>
                <w:sz w:val="32"/>
                <w:szCs w:val="32"/>
                <w:lang w:eastAsia="en-GB"/>
              </w:rPr>
              <w:t>Person responsible for policy</w:t>
            </w:r>
          </w:p>
        </w:tc>
        <w:tc>
          <w:tcPr>
            <w:tcW w:w="6186" w:type="dxa"/>
            <w:tcBorders>
              <w:top w:val="nil"/>
              <w:left w:val="nil"/>
              <w:bottom w:val="single" w:sz="8" w:space="0" w:color="000000" w:themeColor="text1"/>
              <w:right w:val="single" w:sz="8" w:space="0" w:color="000000" w:themeColor="text1"/>
            </w:tcBorders>
          </w:tcPr>
          <w:p w14:paraId="194F62BE" w14:textId="5F328232" w:rsidR="003F7E07" w:rsidRPr="003F7E07" w:rsidRDefault="003F7E07" w:rsidP="00362396">
            <w:pPr>
              <w:rPr>
                <w:sz w:val="32"/>
                <w:szCs w:val="32"/>
              </w:rPr>
            </w:pPr>
            <w:r w:rsidRPr="003F7E07">
              <w:rPr>
                <w:sz w:val="32"/>
                <w:szCs w:val="32"/>
              </w:rPr>
              <w:t>Rae Parker, Assistant Headteacher, Curriculum and Assessment and Head of Careers</w:t>
            </w:r>
          </w:p>
        </w:tc>
      </w:tr>
      <w:tr w:rsidR="003F7E07" w:rsidRPr="00952F08" w14:paraId="5DF98F33" w14:textId="77777777" w:rsidTr="003F7E07">
        <w:trPr>
          <w:jc w:val="center"/>
        </w:trPr>
        <w:tc>
          <w:tcPr>
            <w:tcW w:w="2820" w:type="dxa"/>
            <w:tcBorders>
              <w:top w:val="nil"/>
              <w:left w:val="single" w:sz="8" w:space="0" w:color="000000" w:themeColor="text1"/>
              <w:bottom w:val="single" w:sz="8" w:space="0" w:color="000000" w:themeColor="text1"/>
              <w:right w:val="single" w:sz="8" w:space="0" w:color="000000" w:themeColor="text1"/>
            </w:tcBorders>
          </w:tcPr>
          <w:p w14:paraId="54F2DB5F" w14:textId="77777777" w:rsidR="003F7E07" w:rsidRPr="00952F08" w:rsidRDefault="003F7E07" w:rsidP="00362396">
            <w:pPr>
              <w:rPr>
                <w:rFonts w:ascii="Calibri" w:hAnsi="Calibri" w:cs="Calibri"/>
                <w:sz w:val="32"/>
                <w:szCs w:val="32"/>
                <w:lang w:eastAsia="en-GB"/>
              </w:rPr>
            </w:pPr>
            <w:r>
              <w:rPr>
                <w:rFonts w:ascii="Calibri" w:hAnsi="Calibri" w:cs="Calibri"/>
                <w:sz w:val="32"/>
                <w:szCs w:val="32"/>
                <w:lang w:eastAsia="en-GB"/>
              </w:rPr>
              <w:t>Version date</w:t>
            </w:r>
            <w:r w:rsidRPr="00952F08">
              <w:rPr>
                <w:rFonts w:ascii="Calibri" w:hAnsi="Calibri" w:cs="Calibri"/>
                <w:sz w:val="32"/>
                <w:szCs w:val="32"/>
                <w:lang w:eastAsia="en-GB"/>
              </w:rPr>
              <w:t>:</w:t>
            </w:r>
          </w:p>
        </w:tc>
        <w:tc>
          <w:tcPr>
            <w:tcW w:w="6186" w:type="dxa"/>
            <w:tcBorders>
              <w:top w:val="nil"/>
              <w:left w:val="nil"/>
              <w:bottom w:val="single" w:sz="8" w:space="0" w:color="000000" w:themeColor="text1"/>
              <w:right w:val="single" w:sz="8" w:space="0" w:color="000000" w:themeColor="text1"/>
            </w:tcBorders>
          </w:tcPr>
          <w:p w14:paraId="43C7F382" w14:textId="77777777" w:rsidR="003F7E07" w:rsidRDefault="003F7E07" w:rsidP="00362396">
            <w:pPr>
              <w:rPr>
                <w:rFonts w:ascii="Calibri" w:hAnsi="Calibri" w:cs="Calibri"/>
                <w:bCs/>
                <w:sz w:val="32"/>
                <w:szCs w:val="32"/>
                <w:lang w:eastAsia="en-GB"/>
              </w:rPr>
            </w:pPr>
            <w:r w:rsidRPr="0039093E">
              <w:rPr>
                <w:rFonts w:ascii="Calibri" w:hAnsi="Calibri" w:cs="Calibri"/>
                <w:bCs/>
                <w:sz w:val="32"/>
                <w:szCs w:val="32"/>
                <w:lang w:eastAsia="en-GB"/>
              </w:rPr>
              <w:t>June 2023</w:t>
            </w:r>
          </w:p>
          <w:p w14:paraId="03D6AEB9" w14:textId="513F5ACB" w:rsidR="0039093E" w:rsidRPr="0039093E" w:rsidRDefault="0039093E" w:rsidP="00362396">
            <w:pPr>
              <w:rPr>
                <w:rFonts w:ascii="Calibri" w:hAnsi="Calibri" w:cs="Calibri"/>
                <w:bCs/>
                <w:sz w:val="32"/>
                <w:szCs w:val="32"/>
                <w:lang w:eastAsia="en-GB"/>
              </w:rPr>
            </w:pPr>
          </w:p>
        </w:tc>
      </w:tr>
      <w:tr w:rsidR="003F7E07" w:rsidRPr="00952F08" w14:paraId="239BCCA2" w14:textId="77777777" w:rsidTr="003F7E07">
        <w:trPr>
          <w:jc w:val="center"/>
        </w:trPr>
        <w:tc>
          <w:tcPr>
            <w:tcW w:w="2820" w:type="dxa"/>
            <w:tcBorders>
              <w:top w:val="nil"/>
              <w:left w:val="single" w:sz="8" w:space="0" w:color="000000" w:themeColor="text1"/>
              <w:bottom w:val="single" w:sz="8" w:space="0" w:color="000000" w:themeColor="text1"/>
              <w:right w:val="single" w:sz="8" w:space="0" w:color="000000" w:themeColor="text1"/>
            </w:tcBorders>
          </w:tcPr>
          <w:p w14:paraId="49F786DF" w14:textId="77777777" w:rsidR="003F7E07" w:rsidRPr="00952F08" w:rsidRDefault="003F7E07" w:rsidP="00362396">
            <w:pPr>
              <w:rPr>
                <w:rFonts w:ascii="Calibri" w:hAnsi="Calibri" w:cs="Calibri"/>
                <w:sz w:val="32"/>
                <w:szCs w:val="32"/>
                <w:lang w:eastAsia="en-GB"/>
              </w:rPr>
            </w:pPr>
            <w:r w:rsidRPr="00952F08">
              <w:rPr>
                <w:rFonts w:ascii="Calibri" w:hAnsi="Calibri" w:cs="Calibri"/>
                <w:sz w:val="32"/>
                <w:szCs w:val="32"/>
                <w:lang w:eastAsia="en-GB"/>
              </w:rPr>
              <w:t>Review period</w:t>
            </w:r>
          </w:p>
        </w:tc>
        <w:tc>
          <w:tcPr>
            <w:tcW w:w="6186" w:type="dxa"/>
            <w:tcBorders>
              <w:top w:val="nil"/>
              <w:left w:val="nil"/>
              <w:bottom w:val="single" w:sz="8" w:space="0" w:color="000000" w:themeColor="text1"/>
              <w:right w:val="single" w:sz="8" w:space="0" w:color="000000" w:themeColor="text1"/>
            </w:tcBorders>
          </w:tcPr>
          <w:p w14:paraId="37FDEFB4" w14:textId="53747D90" w:rsidR="003F7E07" w:rsidRPr="0039093E" w:rsidRDefault="0039093E" w:rsidP="00362396">
            <w:pPr>
              <w:rPr>
                <w:rFonts w:ascii="Calibri" w:hAnsi="Calibri" w:cs="Calibri"/>
                <w:bCs/>
                <w:sz w:val="32"/>
                <w:szCs w:val="32"/>
                <w:lang w:eastAsia="en-GB"/>
              </w:rPr>
            </w:pPr>
            <w:r w:rsidRPr="0039093E">
              <w:rPr>
                <w:rFonts w:ascii="Calibri" w:hAnsi="Calibri" w:cs="Calibri"/>
                <w:bCs/>
                <w:sz w:val="32"/>
                <w:szCs w:val="32"/>
                <w:lang w:eastAsia="en-GB"/>
              </w:rPr>
              <w:t>2</w:t>
            </w:r>
            <w:r w:rsidR="003F7E07" w:rsidRPr="0039093E">
              <w:rPr>
                <w:rFonts w:ascii="Calibri" w:hAnsi="Calibri" w:cs="Calibri"/>
                <w:bCs/>
                <w:sz w:val="32"/>
                <w:szCs w:val="32"/>
                <w:lang w:eastAsia="en-GB"/>
              </w:rPr>
              <w:t xml:space="preserve"> years</w:t>
            </w:r>
          </w:p>
          <w:p w14:paraId="23E1AC4D" w14:textId="77777777" w:rsidR="003F7E07" w:rsidRPr="00952F08" w:rsidRDefault="003F7E07" w:rsidP="00362396">
            <w:pPr>
              <w:rPr>
                <w:rFonts w:ascii="Calibri" w:hAnsi="Calibri" w:cs="Calibri"/>
                <w:b/>
                <w:sz w:val="32"/>
                <w:szCs w:val="32"/>
                <w:lang w:eastAsia="en-GB"/>
              </w:rPr>
            </w:pPr>
          </w:p>
        </w:tc>
      </w:tr>
      <w:tr w:rsidR="003F7E07" w:rsidRPr="00952F08" w14:paraId="2ACB590D" w14:textId="77777777" w:rsidTr="003F7E07">
        <w:trPr>
          <w:jc w:val="center"/>
        </w:trPr>
        <w:tc>
          <w:tcPr>
            <w:tcW w:w="2820" w:type="dxa"/>
            <w:tcBorders>
              <w:top w:val="nil"/>
              <w:left w:val="single" w:sz="8" w:space="0" w:color="000000" w:themeColor="text1"/>
              <w:bottom w:val="single" w:sz="8" w:space="0" w:color="000000" w:themeColor="text1"/>
              <w:right w:val="single" w:sz="8" w:space="0" w:color="000000" w:themeColor="text1"/>
            </w:tcBorders>
          </w:tcPr>
          <w:p w14:paraId="2B062158" w14:textId="77777777" w:rsidR="003F7E07" w:rsidRPr="00952F08" w:rsidRDefault="003F7E07" w:rsidP="00362396">
            <w:pPr>
              <w:rPr>
                <w:rFonts w:ascii="Calibri" w:hAnsi="Calibri" w:cs="Calibri"/>
                <w:sz w:val="32"/>
                <w:szCs w:val="32"/>
                <w:lang w:eastAsia="en-GB"/>
              </w:rPr>
            </w:pPr>
            <w:r w:rsidRPr="00952F08">
              <w:rPr>
                <w:rFonts w:ascii="Calibri" w:hAnsi="Calibri" w:cs="Calibri"/>
                <w:sz w:val="32"/>
                <w:szCs w:val="32"/>
                <w:lang w:eastAsia="en-GB"/>
              </w:rPr>
              <w:t>Date approved:</w:t>
            </w:r>
          </w:p>
        </w:tc>
        <w:tc>
          <w:tcPr>
            <w:tcW w:w="6186" w:type="dxa"/>
            <w:tcBorders>
              <w:top w:val="nil"/>
              <w:left w:val="nil"/>
              <w:bottom w:val="single" w:sz="8" w:space="0" w:color="000000" w:themeColor="text1"/>
              <w:right w:val="single" w:sz="8" w:space="0" w:color="000000" w:themeColor="text1"/>
            </w:tcBorders>
          </w:tcPr>
          <w:p w14:paraId="2539F32E" w14:textId="1CCF3E25" w:rsidR="003F7E07" w:rsidRPr="0039093E" w:rsidRDefault="003F7E07" w:rsidP="00362396">
            <w:pPr>
              <w:rPr>
                <w:rFonts w:ascii="Calibri" w:hAnsi="Calibri" w:cs="Calibri"/>
                <w:bCs/>
                <w:sz w:val="32"/>
                <w:szCs w:val="32"/>
                <w:lang w:eastAsia="en-GB"/>
              </w:rPr>
            </w:pPr>
            <w:r w:rsidRPr="0039093E">
              <w:rPr>
                <w:rFonts w:ascii="Calibri" w:hAnsi="Calibri" w:cs="Calibri"/>
                <w:bCs/>
                <w:sz w:val="32"/>
                <w:szCs w:val="32"/>
                <w:lang w:eastAsia="en-GB"/>
              </w:rPr>
              <w:t>15 June 2023</w:t>
            </w:r>
          </w:p>
          <w:p w14:paraId="3B32E6C1" w14:textId="77777777" w:rsidR="003F7E07" w:rsidRPr="0039093E" w:rsidRDefault="003F7E07" w:rsidP="00362396">
            <w:pPr>
              <w:rPr>
                <w:rFonts w:ascii="Calibri" w:hAnsi="Calibri" w:cs="Calibri"/>
                <w:bCs/>
                <w:sz w:val="32"/>
                <w:szCs w:val="32"/>
                <w:lang w:eastAsia="en-GB"/>
              </w:rPr>
            </w:pPr>
          </w:p>
        </w:tc>
      </w:tr>
      <w:tr w:rsidR="003F7E07" w:rsidRPr="00952F08" w14:paraId="7A5439FD" w14:textId="77777777" w:rsidTr="003F7E07">
        <w:trPr>
          <w:jc w:val="center"/>
        </w:trPr>
        <w:tc>
          <w:tcPr>
            <w:tcW w:w="2820" w:type="dxa"/>
            <w:tcBorders>
              <w:top w:val="nil"/>
              <w:left w:val="single" w:sz="8" w:space="0" w:color="000000" w:themeColor="text1"/>
              <w:bottom w:val="single" w:sz="8" w:space="0" w:color="000000" w:themeColor="text1"/>
              <w:right w:val="single" w:sz="8" w:space="0" w:color="000000" w:themeColor="text1"/>
            </w:tcBorders>
          </w:tcPr>
          <w:p w14:paraId="56240084" w14:textId="77777777" w:rsidR="003F7E07" w:rsidRDefault="003F7E07" w:rsidP="00362396">
            <w:pPr>
              <w:rPr>
                <w:rFonts w:ascii="Calibri" w:hAnsi="Calibri" w:cs="Calibri"/>
                <w:sz w:val="32"/>
                <w:szCs w:val="32"/>
                <w:lang w:eastAsia="en-GB"/>
              </w:rPr>
            </w:pPr>
            <w:r>
              <w:rPr>
                <w:rFonts w:ascii="Calibri" w:hAnsi="Calibri" w:cs="Calibri"/>
                <w:sz w:val="32"/>
                <w:szCs w:val="32"/>
                <w:lang w:eastAsia="en-GB"/>
              </w:rPr>
              <w:t>Signature of Co-Chair of Governors</w:t>
            </w:r>
            <w:r w:rsidRPr="00952F08">
              <w:rPr>
                <w:rFonts w:ascii="Calibri" w:hAnsi="Calibri" w:cs="Calibri"/>
                <w:sz w:val="32"/>
                <w:szCs w:val="32"/>
                <w:lang w:eastAsia="en-GB"/>
              </w:rPr>
              <w:t>:</w:t>
            </w:r>
          </w:p>
          <w:p w14:paraId="3E34BC04" w14:textId="77777777" w:rsidR="003F7E07" w:rsidRPr="00952F08" w:rsidRDefault="003F7E07" w:rsidP="00362396">
            <w:pPr>
              <w:rPr>
                <w:rFonts w:ascii="Calibri" w:hAnsi="Calibri" w:cs="Calibri"/>
                <w:sz w:val="32"/>
                <w:szCs w:val="32"/>
                <w:lang w:eastAsia="en-GB"/>
              </w:rPr>
            </w:pPr>
          </w:p>
        </w:tc>
        <w:tc>
          <w:tcPr>
            <w:tcW w:w="6186" w:type="dxa"/>
            <w:tcBorders>
              <w:top w:val="nil"/>
              <w:left w:val="nil"/>
              <w:bottom w:val="single" w:sz="8" w:space="0" w:color="000000" w:themeColor="text1"/>
              <w:right w:val="single" w:sz="8" w:space="0" w:color="000000" w:themeColor="text1"/>
            </w:tcBorders>
          </w:tcPr>
          <w:p w14:paraId="081DCD28" w14:textId="77777777" w:rsidR="003F7E07" w:rsidRPr="00952F08" w:rsidRDefault="003F7E07" w:rsidP="00362396">
            <w:pPr>
              <w:pStyle w:val="NoSpacing"/>
              <w:rPr>
                <w:snapToGrid/>
                <w:lang w:eastAsia="en-GB"/>
              </w:rPr>
            </w:pPr>
            <w:r w:rsidRPr="39F2ACBB">
              <w:rPr>
                <w:bCs/>
                <w:snapToGrid/>
                <w:lang w:eastAsia="en-GB"/>
              </w:rPr>
              <w:t>   </w:t>
            </w:r>
            <w:r>
              <w:rPr>
                <w:bCs/>
                <w:snapToGrid/>
                <w:lang w:eastAsia="en-GB"/>
              </w:rPr>
              <w:t xml:space="preserve">                                     </w:t>
            </w:r>
            <w:r>
              <w:rPr>
                <w:noProof/>
              </w:rPr>
              <w:drawing>
                <wp:inline distT="0" distB="0" distL="0" distR="0" wp14:anchorId="0C41A389" wp14:editId="4D2B85BA">
                  <wp:extent cx="1177724" cy="563880"/>
                  <wp:effectExtent l="0" t="0" r="3810" b="7620"/>
                  <wp:docPr id="1" name="Picture 1" descr="A close 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atu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5722" cy="567709"/>
                          </a:xfrm>
                          <a:prstGeom prst="rect">
                            <a:avLst/>
                          </a:prstGeom>
                          <a:noFill/>
                          <a:ln>
                            <a:noFill/>
                          </a:ln>
                        </pic:spPr>
                      </pic:pic>
                    </a:graphicData>
                  </a:graphic>
                </wp:inline>
              </w:drawing>
            </w:r>
            <w:r>
              <w:rPr>
                <w:bCs/>
                <w:snapToGrid/>
                <w:lang w:eastAsia="en-GB"/>
              </w:rPr>
              <w:t xml:space="preserve">      </w:t>
            </w:r>
            <w:r>
              <w:rPr>
                <w:noProof/>
              </w:rPr>
              <w:drawing>
                <wp:anchor distT="0" distB="0" distL="114300" distR="114300" simplePos="0" relativeHeight="251659264" behindDoc="1" locked="0" layoutInCell="1" allowOverlap="1" wp14:anchorId="19B60AF0" wp14:editId="77CE4EE8">
                  <wp:simplePos x="0" y="0"/>
                  <wp:positionH relativeFrom="column">
                    <wp:posOffset>-3175</wp:posOffset>
                  </wp:positionH>
                  <wp:positionV relativeFrom="paragraph">
                    <wp:posOffset>9525</wp:posOffset>
                  </wp:positionV>
                  <wp:extent cx="932815" cy="469265"/>
                  <wp:effectExtent l="0" t="0" r="635" b="6985"/>
                  <wp:wrapNone/>
                  <wp:docPr id="5" name="Picture 5" descr="A picture containing handwriting, calligraphy, font,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handwriting, calligraphy, font, typograph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469265"/>
                          </a:xfrm>
                          <a:prstGeom prst="rect">
                            <a:avLst/>
                          </a:prstGeom>
                          <a:noFill/>
                        </pic:spPr>
                      </pic:pic>
                    </a:graphicData>
                  </a:graphic>
                </wp:anchor>
              </w:drawing>
            </w:r>
          </w:p>
        </w:tc>
      </w:tr>
    </w:tbl>
    <w:p w14:paraId="2AAC1DCD" w14:textId="77777777" w:rsidR="003F7E07" w:rsidRPr="003C1B88" w:rsidRDefault="003F7E07" w:rsidP="003C1B88">
      <w:pPr>
        <w:jc w:val="center"/>
        <w:rPr>
          <w:b/>
          <w:bCs/>
          <w:sz w:val="48"/>
          <w:szCs w:val="48"/>
        </w:rPr>
      </w:pPr>
    </w:p>
    <w:p w14:paraId="77F02854" w14:textId="77777777" w:rsidR="003C1B88" w:rsidRDefault="003C1B88" w:rsidP="00F66EEE"/>
    <w:p w14:paraId="22022B61" w14:textId="3CE0AB0E" w:rsidR="003C1B88" w:rsidRDefault="003C1B88"/>
    <w:p w14:paraId="7189C349" w14:textId="68D5AA99" w:rsidR="00F66EEE" w:rsidRPr="0039093E" w:rsidRDefault="003C1B88" w:rsidP="00F66EEE">
      <w:r>
        <w:br w:type="page"/>
      </w:r>
      <w:r w:rsidR="00F66EEE" w:rsidRPr="003C1B88">
        <w:rPr>
          <w:b/>
          <w:bCs/>
        </w:rPr>
        <w:lastRenderedPageBreak/>
        <w:t xml:space="preserve">Introduction </w:t>
      </w:r>
    </w:p>
    <w:p w14:paraId="53DBC126" w14:textId="5A1F1712" w:rsidR="00F66EEE" w:rsidRDefault="00F66EEE" w:rsidP="00F66EEE">
      <w:r>
        <w:t xml:space="preserve">This policy statement sets out the school’s arrangements for managing the access of providers to students at the school for the purpose of giving them information about the provider’s education or training offer. This complies with the school’s legal obligations under Section 42B of the Education Act 1997. </w:t>
      </w:r>
    </w:p>
    <w:p w14:paraId="45D37061" w14:textId="77777777" w:rsidR="00F66EEE" w:rsidRDefault="00F66EEE" w:rsidP="00F66EEE"/>
    <w:p w14:paraId="032543E5" w14:textId="77777777" w:rsidR="00F66EEE" w:rsidRPr="003C1B88" w:rsidRDefault="00F66EEE" w:rsidP="00F66EEE">
      <w:pPr>
        <w:rPr>
          <w:b/>
          <w:bCs/>
        </w:rPr>
      </w:pPr>
      <w:r w:rsidRPr="003C1B88">
        <w:rPr>
          <w:b/>
          <w:bCs/>
        </w:rPr>
        <w:t xml:space="preserve">Pupil entitlement </w:t>
      </w:r>
    </w:p>
    <w:p w14:paraId="34A71462" w14:textId="2312910F" w:rsidR="003C1B88" w:rsidRDefault="00F66EEE" w:rsidP="00F66EEE">
      <w:r>
        <w:t xml:space="preserve">All pupils in years </w:t>
      </w:r>
      <w:r w:rsidR="00306D8B">
        <w:t>7</w:t>
      </w:r>
      <w:r>
        <w:t>-</w:t>
      </w:r>
      <w:r w:rsidR="00306D8B">
        <w:t>11</w:t>
      </w:r>
      <w:r>
        <w:t xml:space="preserve"> are entitled</w:t>
      </w:r>
      <w:r w:rsidR="003C1B88">
        <w:t xml:space="preserve"> to:</w:t>
      </w:r>
    </w:p>
    <w:p w14:paraId="23DDC276" w14:textId="106DA1CA" w:rsidR="003C1B88" w:rsidRDefault="00F66EEE" w:rsidP="003C1B88">
      <w:pPr>
        <w:pStyle w:val="ListParagraph"/>
        <w:numPr>
          <w:ilvl w:val="0"/>
          <w:numId w:val="1"/>
        </w:numPr>
      </w:pPr>
      <w:r>
        <w:t>To find out about technical education qualifications and apprenticeships opportunities, as part of a careers programme which provides information on the full range of education and training options available at each transition point</w:t>
      </w:r>
    </w:p>
    <w:p w14:paraId="1BC6D6F0" w14:textId="4F86D578" w:rsidR="003C1B88" w:rsidRDefault="00F66EEE" w:rsidP="003C1B88">
      <w:pPr>
        <w:pStyle w:val="ListParagraph"/>
        <w:numPr>
          <w:ilvl w:val="0"/>
          <w:numId w:val="1"/>
        </w:numPr>
      </w:pPr>
      <w:r>
        <w:t>To hear from a range of local providers about the opportunities they offer, including technical education and apprenticeships – through options events, assemblies and group discussions and taster events</w:t>
      </w:r>
    </w:p>
    <w:p w14:paraId="24144964" w14:textId="0D79FC0A" w:rsidR="00F66EEE" w:rsidRDefault="00F66EEE" w:rsidP="003C1B88">
      <w:pPr>
        <w:pStyle w:val="ListParagraph"/>
        <w:numPr>
          <w:ilvl w:val="0"/>
          <w:numId w:val="1"/>
        </w:numPr>
      </w:pPr>
      <w:r>
        <w:t xml:space="preserve">To understand how to make applications for the full range of academic and technical courses. </w:t>
      </w:r>
    </w:p>
    <w:p w14:paraId="5A843544" w14:textId="77777777" w:rsidR="00F66EEE" w:rsidRDefault="00F66EEE" w:rsidP="00F66EEE"/>
    <w:p w14:paraId="188E66C7" w14:textId="77777777" w:rsidR="00F66EEE" w:rsidRPr="003C1B88" w:rsidRDefault="00F66EEE" w:rsidP="00F66EEE">
      <w:pPr>
        <w:rPr>
          <w:b/>
          <w:bCs/>
          <w:sz w:val="28"/>
          <w:szCs w:val="28"/>
        </w:rPr>
      </w:pPr>
      <w:r w:rsidRPr="003C1B88">
        <w:rPr>
          <w:b/>
          <w:bCs/>
          <w:sz w:val="28"/>
          <w:szCs w:val="28"/>
        </w:rPr>
        <w:t xml:space="preserve">Management of provider access requests </w:t>
      </w:r>
    </w:p>
    <w:p w14:paraId="50BDECF7" w14:textId="77777777" w:rsidR="00F66EEE" w:rsidRPr="003C1B88" w:rsidRDefault="00F66EEE" w:rsidP="00F66EEE">
      <w:pPr>
        <w:rPr>
          <w:b/>
          <w:bCs/>
        </w:rPr>
      </w:pPr>
      <w:r w:rsidRPr="003C1B88">
        <w:rPr>
          <w:b/>
          <w:bCs/>
        </w:rPr>
        <w:t>Procedure:</w:t>
      </w:r>
    </w:p>
    <w:p w14:paraId="35DB68B1" w14:textId="77777777" w:rsidR="003C1B88" w:rsidRDefault="00F66EEE" w:rsidP="00F66EEE">
      <w:r>
        <w:t xml:space="preserve">A provider wishing to request access should contact </w:t>
      </w:r>
      <w:r w:rsidR="003C1B88">
        <w:t xml:space="preserve">either: </w:t>
      </w:r>
    </w:p>
    <w:p w14:paraId="7D1ABD1D" w14:textId="2A8BF4F6" w:rsidR="00F66EEE" w:rsidRDefault="003C1B88" w:rsidP="00F66EEE">
      <w:r>
        <w:t>Rae Parker</w:t>
      </w:r>
      <w:r w:rsidR="00F66EEE">
        <w:t>, Head of Careers</w:t>
      </w:r>
      <w:r>
        <w:t xml:space="preserve">.  </w:t>
      </w:r>
      <w:hyperlink r:id="rId8" w:history="1">
        <w:r w:rsidRPr="00462626">
          <w:rPr>
            <w:rStyle w:val="Hyperlink"/>
          </w:rPr>
          <w:t>rparker@tiverton.devon.sch.uk</w:t>
        </w:r>
      </w:hyperlink>
      <w:r>
        <w:t xml:space="preserve"> </w:t>
      </w:r>
    </w:p>
    <w:p w14:paraId="56415C8E" w14:textId="44D11833" w:rsidR="003C1B88" w:rsidRDefault="003C1B88" w:rsidP="00F66EEE">
      <w:r>
        <w:t xml:space="preserve">Kate Gould, Careers Adviser. </w:t>
      </w:r>
      <w:hyperlink r:id="rId9" w:history="1">
        <w:r w:rsidR="00B13CD0" w:rsidRPr="00462626">
          <w:rPr>
            <w:rStyle w:val="Hyperlink"/>
          </w:rPr>
          <w:t>kgould@tiverton.devon.sch.uk</w:t>
        </w:r>
      </w:hyperlink>
    </w:p>
    <w:p w14:paraId="0417A9DF" w14:textId="7D981BF3" w:rsidR="00B13CD0" w:rsidRDefault="00B13CD0" w:rsidP="00F66EEE">
      <w:r>
        <w:t>Telephone: 01884 256655</w:t>
      </w:r>
    </w:p>
    <w:p w14:paraId="2BF5556A" w14:textId="77777777" w:rsidR="00C825F4" w:rsidRDefault="00C825F4" w:rsidP="00F66EEE"/>
    <w:p w14:paraId="7E0D8167" w14:textId="5EC7A442" w:rsidR="00F66EEE" w:rsidRDefault="00B13CD0" w:rsidP="00F66EEE">
      <w:r>
        <w:t>In line with our safeguarding policy w</w:t>
      </w:r>
      <w:r w:rsidR="00F66EEE">
        <w:t xml:space="preserve">hen delivering an activity within the school </w:t>
      </w:r>
      <w:r>
        <w:t>we require providers to:</w:t>
      </w:r>
      <w:r w:rsidR="00F66EEE">
        <w:t xml:space="preserve"> </w:t>
      </w:r>
    </w:p>
    <w:p w14:paraId="5DC45655" w14:textId="01A9444E" w:rsidR="00F66EEE" w:rsidRDefault="00B13CD0" w:rsidP="00B13CD0">
      <w:pPr>
        <w:pStyle w:val="ListParagraph"/>
        <w:numPr>
          <w:ilvl w:val="0"/>
          <w:numId w:val="2"/>
        </w:numPr>
      </w:pPr>
      <w:r>
        <w:t>A</w:t>
      </w:r>
      <w:r w:rsidR="00F66EEE">
        <w:t xml:space="preserve">dhere to </w:t>
      </w:r>
      <w:r>
        <w:t xml:space="preserve">and respect </w:t>
      </w:r>
      <w:r w:rsidR="00F66EEE">
        <w:t xml:space="preserve">our safeguarding and DBS </w:t>
      </w:r>
      <w:r>
        <w:t>procedures</w:t>
      </w:r>
    </w:p>
    <w:p w14:paraId="4D1B5138" w14:textId="20F6CD18" w:rsidR="00B13CD0" w:rsidRDefault="00B13CD0" w:rsidP="00B13CD0">
      <w:pPr>
        <w:pStyle w:val="ListParagraph"/>
        <w:numPr>
          <w:ilvl w:val="0"/>
          <w:numId w:val="2"/>
        </w:numPr>
      </w:pPr>
      <w:r>
        <w:t xml:space="preserve">Wear the appropriate ID lanyard at all times and be </w:t>
      </w:r>
      <w:r w:rsidR="00F66EEE">
        <w:t>accompanied at all time whilst in the school unless the correct level of DBS is in plac</w:t>
      </w:r>
      <w:r>
        <w:t>e</w:t>
      </w:r>
      <w:r w:rsidR="00F66EEE">
        <w:t xml:space="preserve"> </w:t>
      </w:r>
    </w:p>
    <w:p w14:paraId="0ADE13CE" w14:textId="3726C545" w:rsidR="00F66EEE" w:rsidRDefault="00F66EEE" w:rsidP="00B13CD0">
      <w:pPr>
        <w:pStyle w:val="ListParagraph"/>
        <w:numPr>
          <w:ilvl w:val="0"/>
          <w:numId w:val="2"/>
        </w:numPr>
      </w:pPr>
      <w:r>
        <w:t xml:space="preserve">participate in feedback sessions/data analysis where appropriate. </w:t>
      </w:r>
    </w:p>
    <w:p w14:paraId="1D0DABF1" w14:textId="1EF2BFD1" w:rsidR="00F66EEE" w:rsidRDefault="00B13CD0" w:rsidP="00F66EEE">
      <w:r>
        <w:t xml:space="preserve">For your activity to be carried out in school we </w:t>
      </w:r>
      <w:r w:rsidR="00F66EEE">
        <w:t xml:space="preserve">also </w:t>
      </w:r>
      <w:r>
        <w:t>require that you</w:t>
      </w:r>
      <w:r w:rsidR="00F66EEE">
        <w:t xml:space="preserve"> provide: </w:t>
      </w:r>
    </w:p>
    <w:p w14:paraId="5D87D6ED" w14:textId="0D19179C" w:rsidR="00B13CD0" w:rsidRDefault="00F66EEE" w:rsidP="00B13CD0">
      <w:pPr>
        <w:pStyle w:val="ListParagraph"/>
        <w:numPr>
          <w:ilvl w:val="0"/>
          <w:numId w:val="3"/>
        </w:numPr>
      </w:pPr>
      <w:r>
        <w:t xml:space="preserve">information about </w:t>
      </w:r>
      <w:r w:rsidR="00B13CD0">
        <w:t xml:space="preserve">your organisation and/or partner </w:t>
      </w:r>
      <w:r>
        <w:t xml:space="preserve">provider and the approved technical education qualifications or apprenticeships that the provider offers  </w:t>
      </w:r>
    </w:p>
    <w:p w14:paraId="1E5FE6F1" w14:textId="0EE9E4F7" w:rsidR="00B13CD0" w:rsidRDefault="00F66EEE" w:rsidP="00B13CD0">
      <w:pPr>
        <w:pStyle w:val="ListParagraph"/>
        <w:numPr>
          <w:ilvl w:val="0"/>
          <w:numId w:val="3"/>
        </w:numPr>
      </w:pPr>
      <w:r>
        <w:t xml:space="preserve">information about the careers </w:t>
      </w:r>
      <w:r w:rsidR="00B13CD0">
        <w:t xml:space="preserve">and progression </w:t>
      </w:r>
      <w:r>
        <w:t xml:space="preserve">to which those technical education qualifications or apprenticeships </w:t>
      </w:r>
      <w:r w:rsidR="00B13CD0">
        <w:t>may involve</w:t>
      </w:r>
    </w:p>
    <w:p w14:paraId="26464506" w14:textId="78EE8B4D" w:rsidR="00B13CD0" w:rsidRDefault="00B13CD0" w:rsidP="00B13CD0">
      <w:pPr>
        <w:pStyle w:val="ListParagraph"/>
        <w:numPr>
          <w:ilvl w:val="0"/>
          <w:numId w:val="3"/>
        </w:numPr>
      </w:pPr>
      <w:r>
        <w:t>on overview of the learning or training environment that your organisation offers</w:t>
      </w:r>
    </w:p>
    <w:p w14:paraId="3811BF79" w14:textId="276B44CB" w:rsidR="00F66EEE" w:rsidRDefault="00F66EEE" w:rsidP="00B13CD0">
      <w:pPr>
        <w:pStyle w:val="ListParagraph"/>
        <w:numPr>
          <w:ilvl w:val="0"/>
          <w:numId w:val="3"/>
        </w:numPr>
      </w:pPr>
      <w:r>
        <w:t xml:space="preserve">responses to questions from the pupils about the provider or approved technical education qualifications and apprenticeships </w:t>
      </w:r>
    </w:p>
    <w:p w14:paraId="2E251ADB" w14:textId="544E185C" w:rsidR="00F66EEE" w:rsidRDefault="00F66EEE" w:rsidP="00F66EEE">
      <w:r>
        <w:t xml:space="preserve">Please note that </w:t>
      </w:r>
      <w:r w:rsidR="00434EBB">
        <w:t xml:space="preserve">we are happy to </w:t>
      </w:r>
      <w:r>
        <w:t>provide advice and guidance on appropriate topics and delivery methods as required</w:t>
      </w:r>
      <w:r w:rsidR="00434EBB">
        <w:t>.  We are</w:t>
      </w:r>
      <w:r>
        <w:t xml:space="preserve"> also willing and able to accept online forms of delivery including MS Teams or other suitable </w:t>
      </w:r>
      <w:r w:rsidR="00434EBB">
        <w:t>delivery methods</w:t>
      </w:r>
      <w:r>
        <w:t xml:space="preserve">. </w:t>
      </w:r>
    </w:p>
    <w:p w14:paraId="42A01AD2" w14:textId="70F1269A" w:rsidR="00F66EEE" w:rsidRDefault="00F66EEE" w:rsidP="00F66EEE">
      <w:r>
        <w:t>Any feedback, issues o</w:t>
      </w:r>
      <w:r w:rsidR="00434EBB">
        <w:t xml:space="preserve">r </w:t>
      </w:r>
      <w:r>
        <w:t xml:space="preserve">complaints relating to your experience within school should be emailed directly to the careers lead </w:t>
      </w:r>
      <w:r w:rsidR="00434EBB">
        <w:t xml:space="preserve">Rae Parker, </w:t>
      </w:r>
      <w:hyperlink r:id="rId10" w:history="1">
        <w:r w:rsidR="00434EBB" w:rsidRPr="00462626">
          <w:rPr>
            <w:rStyle w:val="Hyperlink"/>
          </w:rPr>
          <w:t>rparker@tiverton.devon.sch.uk</w:t>
        </w:r>
      </w:hyperlink>
      <w:r w:rsidR="00434EBB">
        <w:t>.  Any safeguarding concerns should be raised in accordance to your briefing on arrival at the school or sent directly to our Designated Safeguarding Lead Carrie Morrell, cmorrell@tiverton.devon.sch.uk.</w:t>
      </w:r>
    </w:p>
    <w:p w14:paraId="0FBD753F" w14:textId="77777777" w:rsidR="00F66EEE" w:rsidRDefault="00F66EEE" w:rsidP="00F66EEE"/>
    <w:p w14:paraId="44175E0A" w14:textId="77777777" w:rsidR="00F66EEE" w:rsidRPr="00434EBB" w:rsidRDefault="00F66EEE" w:rsidP="00F66EEE">
      <w:pPr>
        <w:rPr>
          <w:b/>
          <w:bCs/>
        </w:rPr>
      </w:pPr>
      <w:r w:rsidRPr="00434EBB">
        <w:rPr>
          <w:b/>
          <w:bCs/>
        </w:rPr>
        <w:t xml:space="preserve">Opportunities for access </w:t>
      </w:r>
    </w:p>
    <w:p w14:paraId="1AC07D33" w14:textId="65CBD5B0" w:rsidR="00844B06" w:rsidRDefault="00F66EEE" w:rsidP="00F66EEE">
      <w:r>
        <w:t>Below outlines key elements of our careers</w:t>
      </w:r>
      <w:r w:rsidR="00434EBB">
        <w:t>.  Please refer to the column ‘External companies’ for some of the most appropriate opportunities for external organisations to become involved or engage with our students.</w:t>
      </w:r>
    </w:p>
    <w:p w14:paraId="4450B05F" w14:textId="668AF531" w:rsidR="00F66EEE" w:rsidRDefault="00F66EEE" w:rsidP="00F66EEE"/>
    <w:p w14:paraId="7BED39FB" w14:textId="3898A59E" w:rsidR="00F66EEE" w:rsidRPr="00F66EEE" w:rsidRDefault="00F66EEE" w:rsidP="00F66EEE">
      <w:pPr>
        <w:rPr>
          <w:b/>
          <w:bCs/>
          <w:color w:val="FF0000"/>
        </w:rPr>
      </w:pPr>
      <w:r w:rsidRPr="00F66EEE">
        <w:rPr>
          <w:b/>
          <w:bCs/>
          <w:color w:val="FF0000"/>
        </w:rPr>
        <w:t>Reference to table here</w:t>
      </w:r>
      <w:r w:rsidR="00E504CD">
        <w:rPr>
          <w:b/>
          <w:bCs/>
          <w:color w:val="FF0000"/>
        </w:rPr>
        <w:t xml:space="preserve"> – correct at time of publication</w:t>
      </w:r>
    </w:p>
    <w:p w14:paraId="2304452B" w14:textId="75DE5185" w:rsidR="00F66EEE" w:rsidRDefault="00F66EEE" w:rsidP="00F66EEE"/>
    <w:p w14:paraId="6A30E1C9" w14:textId="3119871A" w:rsidR="00F66EEE" w:rsidRDefault="00F66EEE" w:rsidP="00F66EEE">
      <w:r>
        <w:t xml:space="preserve">Please speak to our Head of Careers </w:t>
      </w:r>
      <w:r w:rsidR="00434EBB">
        <w:t xml:space="preserve">or Careers Adviser </w:t>
      </w:r>
      <w:r>
        <w:t xml:space="preserve">to identify the most suitable opportunity for you </w:t>
      </w:r>
      <w:r w:rsidR="00434EBB">
        <w:t>from the opportunities</w:t>
      </w:r>
      <w:r>
        <w:t xml:space="preserve"> listed above or something you would like to suggest. </w:t>
      </w:r>
      <w:r w:rsidR="00434EBB">
        <w:t xml:space="preserve">We are keen to consolidate and grow </w:t>
      </w:r>
      <w:r w:rsidR="00702E4B">
        <w:t>our partnerships and career network for the benefit of our students.</w:t>
      </w:r>
      <w:r>
        <w:t xml:space="preserve"> </w:t>
      </w:r>
    </w:p>
    <w:p w14:paraId="3C45D9F7" w14:textId="77777777" w:rsidR="00C825F4" w:rsidRDefault="00C825F4" w:rsidP="00F66EEE">
      <w:pPr>
        <w:rPr>
          <w:b/>
          <w:bCs/>
        </w:rPr>
      </w:pPr>
    </w:p>
    <w:p w14:paraId="319E7902" w14:textId="39599214" w:rsidR="00F66EEE" w:rsidRPr="00702E4B" w:rsidRDefault="00F66EEE" w:rsidP="00F66EEE">
      <w:pPr>
        <w:rPr>
          <w:b/>
          <w:bCs/>
        </w:rPr>
      </w:pPr>
      <w:r w:rsidRPr="00702E4B">
        <w:rPr>
          <w:b/>
          <w:bCs/>
        </w:rPr>
        <w:t xml:space="preserve">Training Providers </w:t>
      </w:r>
    </w:p>
    <w:p w14:paraId="0AE12855" w14:textId="4FA70E09" w:rsidR="00702E4B" w:rsidRDefault="00702E4B" w:rsidP="00F66EEE">
      <w:r>
        <w:t>We embed encounters with external companies and training providers within our ongoing careers programme from Year 7 through to the end of Year 11.  This often happens through our Development Days, Work experience programme, Progression days and through ongoing work with colleges and Independent Training Providers.</w:t>
      </w:r>
    </w:p>
    <w:p w14:paraId="0BF00D5D" w14:textId="17198287" w:rsidR="00F66EEE" w:rsidRDefault="00F66EEE" w:rsidP="00F66EEE">
      <w:r>
        <w:t xml:space="preserve">Providers we regularly work with: PETROC, Exeter College, Bicton College, </w:t>
      </w:r>
      <w:r w:rsidR="00115DF6">
        <w:t>Huish, BTC</w:t>
      </w:r>
      <w:r>
        <w:t>, Exeter University, CSW Group, NSSW</w:t>
      </w:r>
      <w:r w:rsidR="00306D8B">
        <w:t>,</w:t>
      </w:r>
      <w:r>
        <w:t xml:space="preserve"> </w:t>
      </w:r>
      <w:r w:rsidR="00115DF6">
        <w:t>Hepcomotion, Heathcoat Fabrics and MDDC.</w:t>
      </w:r>
    </w:p>
    <w:p w14:paraId="31F85FCF" w14:textId="77777777" w:rsidR="00F66EEE" w:rsidRDefault="00F66EEE" w:rsidP="00F66EEE"/>
    <w:p w14:paraId="6BF57C52" w14:textId="77777777" w:rsidR="00F66EEE" w:rsidRPr="000D6B88" w:rsidRDefault="00F66EEE" w:rsidP="00F66EEE">
      <w:pPr>
        <w:rPr>
          <w:b/>
          <w:bCs/>
        </w:rPr>
      </w:pPr>
      <w:r w:rsidRPr="000D6B88">
        <w:rPr>
          <w:b/>
          <w:bCs/>
        </w:rPr>
        <w:t xml:space="preserve">Destinations </w:t>
      </w:r>
    </w:p>
    <w:p w14:paraId="228D0586" w14:textId="5B86BBAB" w:rsidR="000D6B88" w:rsidRDefault="00F66EEE" w:rsidP="00F66EEE">
      <w:r>
        <w:t xml:space="preserve">We </w:t>
      </w:r>
      <w:r w:rsidR="000D6B88">
        <w:t>track our</w:t>
      </w:r>
      <w:r>
        <w:t xml:space="preserve"> historical destination data </w:t>
      </w:r>
      <w:r w:rsidR="000D6B88">
        <w:t>in line with Government requirements and strive to support our students to minimise the number of NE</w:t>
      </w:r>
      <w:r>
        <w:t xml:space="preserve">ET students. </w:t>
      </w:r>
      <w:r w:rsidR="000D6B88">
        <w:t>Our students progress from us via a variety of routes from academic studies such as A-level programmes to vocational and work based routes such as apprenticeships supported by local companies.</w:t>
      </w:r>
    </w:p>
    <w:p w14:paraId="332FDD11" w14:textId="48B13C26" w:rsidR="00F66EEE" w:rsidRDefault="000D6B88" w:rsidP="00F66EEE">
      <w:r>
        <w:t>We are constantly looking to build our Alumni programme to celebrate our previous students’ successes and to build a network to support our current students though experiencing first hand from the opportunities of previous students.</w:t>
      </w:r>
    </w:p>
    <w:p w14:paraId="4622336C" w14:textId="7DDA8A63" w:rsidR="000D6B88" w:rsidRDefault="000D6B88" w:rsidP="00F66EEE"/>
    <w:p w14:paraId="43FBF1B9" w14:textId="77777777" w:rsidR="00C825F4" w:rsidRDefault="00C825F4" w:rsidP="00F66EEE"/>
    <w:p w14:paraId="211CCE6C" w14:textId="3A6B6C30" w:rsidR="00F66EEE" w:rsidRPr="000D6B88" w:rsidRDefault="00F66EEE" w:rsidP="00F66EEE">
      <w:pPr>
        <w:rPr>
          <w:b/>
          <w:bCs/>
        </w:rPr>
      </w:pPr>
      <w:r w:rsidRPr="000D6B88">
        <w:rPr>
          <w:b/>
          <w:bCs/>
        </w:rPr>
        <w:t xml:space="preserve">Premises and facilities </w:t>
      </w:r>
    </w:p>
    <w:p w14:paraId="36E84D21" w14:textId="5A27293D" w:rsidR="00F66EEE" w:rsidRDefault="00F66EEE" w:rsidP="00F66EEE">
      <w:r>
        <w:t>The school will make</w:t>
      </w:r>
      <w:r w:rsidR="000D6B88">
        <w:t xml:space="preserve"> facilities,</w:t>
      </w:r>
      <w:r>
        <w:t xml:space="preserve"> classrooms or meeting rooms available for discussions between the provider and students, as appropriate to the activity. The school will also make available </w:t>
      </w:r>
      <w:r w:rsidR="000D6B88">
        <w:t xml:space="preserve">technology and </w:t>
      </w:r>
      <w:r>
        <w:t xml:space="preserve">other specialist equipment to support provider presentations. This will all be discussed and agreed in advance of the visit with the Careers Leader or a member of their team. </w:t>
      </w:r>
    </w:p>
    <w:p w14:paraId="2627FD80" w14:textId="77777777" w:rsidR="00F66EEE" w:rsidRDefault="00F66EEE" w:rsidP="00F66EEE"/>
    <w:p w14:paraId="6F89A86C" w14:textId="77777777" w:rsidR="00F66EEE" w:rsidRPr="000D6B88" w:rsidRDefault="00F66EEE" w:rsidP="00F66EEE">
      <w:pPr>
        <w:rPr>
          <w:b/>
          <w:bCs/>
        </w:rPr>
      </w:pPr>
      <w:r w:rsidRPr="000D6B88">
        <w:rPr>
          <w:b/>
          <w:bCs/>
        </w:rPr>
        <w:t xml:space="preserve">Grounds for granting and refusing access </w:t>
      </w:r>
    </w:p>
    <w:p w14:paraId="6CEA3F6B" w14:textId="41AE1CAE" w:rsidR="00F66EEE" w:rsidRDefault="00F66EEE" w:rsidP="00F66EEE">
      <w:r>
        <w:t>All requests are on a case by case basis</w:t>
      </w:r>
      <w:r w:rsidR="00EC2B51">
        <w:t xml:space="preserve"> and </w:t>
      </w:r>
      <w:r>
        <w:t>we really value any support with our careers programme</w:t>
      </w:r>
      <w:r w:rsidR="00EC2B51">
        <w:t xml:space="preserve"> from Colleges, ITPs and employers</w:t>
      </w:r>
      <w:r>
        <w:t>. A large part of our careers offer is th</w:t>
      </w:r>
      <w:r w:rsidR="00EC2B51">
        <w:t>e Development Day programme, Year group assemblies and bespoke programme for Year 10 students in the Summer term.  These activities rely</w:t>
      </w:r>
      <w:r>
        <w:t xml:space="preserve"> on local business and education providers. </w:t>
      </w:r>
    </w:p>
    <w:p w14:paraId="4F8F1694" w14:textId="3F61FDAA" w:rsidR="00EC2B51" w:rsidRDefault="00EC2B51" w:rsidP="00F66EEE"/>
    <w:p w14:paraId="2D4D2AB1" w14:textId="70EA0495" w:rsidR="00EC2B51" w:rsidRPr="00EC2B51" w:rsidRDefault="00EC2B51" w:rsidP="00F66EEE">
      <w:pPr>
        <w:rPr>
          <w:b/>
          <w:bCs/>
        </w:rPr>
      </w:pPr>
      <w:r w:rsidRPr="00EC2B51">
        <w:rPr>
          <w:b/>
          <w:bCs/>
        </w:rPr>
        <w:t>We would like to refer anyone interested in making a request for access to our Safeguarding policy on our school website.  Please ensure you are happy to adhere to all requirements as this is a cornerstone of our ethos and keeping our students safe.</w:t>
      </w:r>
    </w:p>
    <w:p w14:paraId="5CBEC628" w14:textId="77777777" w:rsidR="00EC2B51" w:rsidRPr="00F66EEE" w:rsidRDefault="00EC2B51" w:rsidP="00F66EEE"/>
    <w:sectPr w:rsidR="00EC2B51" w:rsidRPr="00F66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FB5"/>
    <w:multiLevelType w:val="hybridMultilevel"/>
    <w:tmpl w:val="A86E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64758"/>
    <w:multiLevelType w:val="hybridMultilevel"/>
    <w:tmpl w:val="7566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94B6F"/>
    <w:multiLevelType w:val="hybridMultilevel"/>
    <w:tmpl w:val="2F00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876133">
    <w:abstractNumId w:val="0"/>
  </w:num>
  <w:num w:numId="2" w16cid:durableId="832184919">
    <w:abstractNumId w:val="2"/>
  </w:num>
  <w:num w:numId="3" w16cid:durableId="16109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EE"/>
    <w:rsid w:val="000D6B88"/>
    <w:rsid w:val="00115DF6"/>
    <w:rsid w:val="00306D8B"/>
    <w:rsid w:val="0039093E"/>
    <w:rsid w:val="003C1B88"/>
    <w:rsid w:val="003F7E07"/>
    <w:rsid w:val="00422828"/>
    <w:rsid w:val="00434EBB"/>
    <w:rsid w:val="00702E4B"/>
    <w:rsid w:val="00844B06"/>
    <w:rsid w:val="008D55D0"/>
    <w:rsid w:val="00B13CD0"/>
    <w:rsid w:val="00C825F4"/>
    <w:rsid w:val="00E504CD"/>
    <w:rsid w:val="00E573A7"/>
    <w:rsid w:val="00EC2B51"/>
    <w:rsid w:val="00F66EEE"/>
    <w:rsid w:val="00FE4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C762"/>
  <w15:chartTrackingRefBased/>
  <w15:docId w15:val="{F20D9392-4CE1-47C7-9064-8F710186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EEE"/>
    <w:rPr>
      <w:color w:val="0563C1" w:themeColor="hyperlink"/>
      <w:u w:val="single"/>
    </w:rPr>
  </w:style>
  <w:style w:type="character" w:styleId="UnresolvedMention">
    <w:name w:val="Unresolved Mention"/>
    <w:basedOn w:val="DefaultParagraphFont"/>
    <w:uiPriority w:val="99"/>
    <w:semiHidden/>
    <w:unhideWhenUsed/>
    <w:rsid w:val="00F66EEE"/>
    <w:rPr>
      <w:color w:val="605E5C"/>
      <w:shd w:val="clear" w:color="auto" w:fill="E1DFDD"/>
    </w:rPr>
  </w:style>
  <w:style w:type="table" w:styleId="TableGrid">
    <w:name w:val="Table Grid"/>
    <w:basedOn w:val="TableNormal"/>
    <w:uiPriority w:val="39"/>
    <w:rsid w:val="003C1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B88"/>
    <w:pPr>
      <w:ind w:left="720"/>
      <w:contextualSpacing/>
    </w:pPr>
  </w:style>
  <w:style w:type="paragraph" w:styleId="NoSpacing">
    <w:name w:val="No Spacing"/>
    <w:uiPriority w:val="1"/>
    <w:qFormat/>
    <w:rsid w:val="003F7E07"/>
    <w:pPr>
      <w:widowControl w:val="0"/>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rker@tiverton.devon.sch.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rparker@tiverton.devon.sch.uk" TargetMode="External"/><Relationship Id="rId4" Type="http://schemas.openxmlformats.org/officeDocument/2006/relationships/webSettings" Target="webSettings.xml"/><Relationship Id="rId9" Type="http://schemas.openxmlformats.org/officeDocument/2006/relationships/hyperlink" Target="mailto:kgould@tiverton.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Gould</dc:creator>
  <cp:keywords/>
  <dc:description/>
  <cp:lastModifiedBy>Exmoor Link Clerk</cp:lastModifiedBy>
  <cp:revision>3</cp:revision>
  <dcterms:created xsi:type="dcterms:W3CDTF">2023-06-16T12:04:00Z</dcterms:created>
  <dcterms:modified xsi:type="dcterms:W3CDTF">2023-06-16T13:21:00Z</dcterms:modified>
</cp:coreProperties>
</file>